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6B" w:rsidRPr="00385DBE" w:rsidRDefault="0022246B" w:rsidP="0022246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6172200</wp:posOffset>
            </wp:positionH>
            <wp:positionV relativeFrom="paragraph">
              <wp:posOffset>0</wp:posOffset>
            </wp:positionV>
            <wp:extent cx="3397250" cy="4153535"/>
            <wp:effectExtent l="0" t="0" r="0" b="0"/>
            <wp:wrapSquare wrapText="bothSides"/>
            <wp:docPr id="9" name="Picture 9" descr="EHS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HS_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DBE">
        <w:rPr>
          <w:b/>
          <w:sz w:val="44"/>
          <w:szCs w:val="44"/>
        </w:rPr>
        <w:t>Literacy Across Learning Strategy 2014-2018</w:t>
      </w:r>
    </w:p>
    <w:p w:rsidR="0022246B" w:rsidRDefault="0022246B" w:rsidP="0022246B"/>
    <w:p w:rsidR="0022246B" w:rsidRDefault="0022246B" w:rsidP="0022246B"/>
    <w:p w:rsidR="0022246B" w:rsidRDefault="0022246B" w:rsidP="0022246B"/>
    <w:p w:rsidR="0022246B" w:rsidRDefault="0022246B" w:rsidP="0022246B"/>
    <w:p w:rsidR="0022246B" w:rsidRDefault="0022246B" w:rsidP="0022246B"/>
    <w:p w:rsidR="0022246B" w:rsidRDefault="0022246B" w:rsidP="0022246B"/>
    <w:p w:rsidR="0022246B" w:rsidRDefault="0022246B" w:rsidP="0022246B"/>
    <w:p w:rsidR="0022246B" w:rsidRPr="00385DBE" w:rsidRDefault="0022246B" w:rsidP="0022246B">
      <w:pPr>
        <w:numPr>
          <w:ilvl w:val="0"/>
          <w:numId w:val="6"/>
        </w:numPr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385DBE">
            <w:rPr>
              <w:b/>
              <w:sz w:val="36"/>
              <w:szCs w:val="36"/>
            </w:rPr>
            <w:t>LAL</w:t>
          </w:r>
        </w:smartTag>
        <w:r w:rsidRPr="00385DBE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385DBE">
            <w:rPr>
              <w:b/>
              <w:sz w:val="36"/>
              <w:szCs w:val="36"/>
            </w:rPr>
            <w:t>Whole</w:t>
          </w:r>
        </w:smartTag>
        <w:r w:rsidRPr="00385DBE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385DBE">
            <w:rPr>
              <w:b/>
              <w:sz w:val="36"/>
              <w:szCs w:val="36"/>
            </w:rPr>
            <w:t>School</w:t>
          </w:r>
        </w:smartTag>
      </w:smartTag>
      <w:r w:rsidRPr="00385DBE">
        <w:rPr>
          <w:b/>
          <w:sz w:val="36"/>
          <w:szCs w:val="36"/>
        </w:rPr>
        <w:t xml:space="preserve"> Focus Areas</w:t>
      </w:r>
    </w:p>
    <w:p w:rsidR="0022246B" w:rsidRPr="00385DBE" w:rsidRDefault="0022246B" w:rsidP="0022246B">
      <w:pPr>
        <w:numPr>
          <w:ilvl w:val="0"/>
          <w:numId w:val="6"/>
        </w:numPr>
        <w:rPr>
          <w:b/>
          <w:sz w:val="36"/>
          <w:szCs w:val="36"/>
        </w:rPr>
      </w:pPr>
      <w:r w:rsidRPr="00385DBE">
        <w:rPr>
          <w:b/>
          <w:sz w:val="36"/>
          <w:szCs w:val="36"/>
        </w:rPr>
        <w:t>Departmental Literacy Specialisms</w:t>
      </w:r>
    </w:p>
    <w:p w:rsidR="0022246B" w:rsidRPr="00385DBE" w:rsidRDefault="0022246B" w:rsidP="0022246B">
      <w:pPr>
        <w:numPr>
          <w:ilvl w:val="0"/>
          <w:numId w:val="6"/>
        </w:numPr>
        <w:rPr>
          <w:b/>
          <w:sz w:val="36"/>
          <w:szCs w:val="36"/>
        </w:rPr>
      </w:pPr>
      <w:r w:rsidRPr="00385DBE">
        <w:rPr>
          <w:b/>
          <w:sz w:val="36"/>
          <w:szCs w:val="36"/>
        </w:rPr>
        <w:t>Skills Frameworks: Research and Presentation</w:t>
      </w:r>
    </w:p>
    <w:p w:rsidR="0022246B" w:rsidRPr="00385DBE" w:rsidRDefault="0022246B" w:rsidP="0022246B">
      <w:pPr>
        <w:numPr>
          <w:ilvl w:val="0"/>
          <w:numId w:val="6"/>
        </w:numPr>
        <w:rPr>
          <w:b/>
          <w:sz w:val="36"/>
          <w:szCs w:val="36"/>
        </w:rPr>
      </w:pPr>
      <w:r w:rsidRPr="00385DBE">
        <w:rPr>
          <w:b/>
          <w:sz w:val="36"/>
          <w:szCs w:val="36"/>
        </w:rPr>
        <w:t>Relevance, Resilience and Success: Celebrating Literacy</w:t>
      </w:r>
    </w:p>
    <w:p w:rsidR="0022246B" w:rsidRPr="00385DBE" w:rsidRDefault="0022246B" w:rsidP="0022246B">
      <w:pPr>
        <w:rPr>
          <w:b/>
          <w:sz w:val="36"/>
          <w:szCs w:val="36"/>
        </w:rPr>
      </w:pPr>
    </w:p>
    <w:p w:rsidR="0022246B" w:rsidRPr="00385DBE" w:rsidRDefault="0022246B" w:rsidP="0022246B">
      <w:pPr>
        <w:rPr>
          <w:b/>
          <w:sz w:val="32"/>
          <w:szCs w:val="32"/>
        </w:rPr>
      </w:pPr>
    </w:p>
    <w:p w:rsidR="0022246B" w:rsidRDefault="0022246B" w:rsidP="0022246B">
      <w:pPr>
        <w:ind w:left="360"/>
        <w:rPr>
          <w:b/>
          <w:sz w:val="32"/>
          <w:szCs w:val="32"/>
        </w:rPr>
      </w:pPr>
    </w:p>
    <w:p w:rsidR="0022246B" w:rsidRDefault="0022246B" w:rsidP="0022246B">
      <w:pPr>
        <w:rPr>
          <w:b/>
          <w:sz w:val="32"/>
          <w:szCs w:val="32"/>
        </w:rPr>
      </w:pPr>
    </w:p>
    <w:p w:rsidR="0022246B" w:rsidRDefault="0022246B" w:rsidP="0022246B">
      <w:pPr>
        <w:rPr>
          <w:b/>
          <w:sz w:val="32"/>
          <w:szCs w:val="32"/>
        </w:rPr>
      </w:pPr>
    </w:p>
    <w:p w:rsidR="0022246B" w:rsidRDefault="0022246B" w:rsidP="0022246B">
      <w:pPr>
        <w:rPr>
          <w:b/>
          <w:sz w:val="32"/>
          <w:szCs w:val="32"/>
        </w:rPr>
      </w:pPr>
    </w:p>
    <w:p w:rsidR="0022246B" w:rsidRDefault="0022246B" w:rsidP="0022246B">
      <w:pPr>
        <w:rPr>
          <w:b/>
          <w:sz w:val="32"/>
          <w:szCs w:val="32"/>
        </w:rPr>
      </w:pPr>
    </w:p>
    <w:p w:rsidR="0022246B" w:rsidRDefault="0022246B" w:rsidP="0022246B">
      <w:pPr>
        <w:rPr>
          <w:b/>
          <w:sz w:val="32"/>
          <w:szCs w:val="32"/>
        </w:rPr>
      </w:pPr>
    </w:p>
    <w:p w:rsidR="0022246B" w:rsidRDefault="0022246B" w:rsidP="0022246B">
      <w:pPr>
        <w:rPr>
          <w:b/>
          <w:sz w:val="32"/>
          <w:szCs w:val="32"/>
        </w:rPr>
      </w:pPr>
    </w:p>
    <w:p w:rsidR="0022246B" w:rsidRDefault="0022246B" w:rsidP="0022246B">
      <w:pPr>
        <w:jc w:val="center"/>
        <w:rPr>
          <w:b/>
          <w:sz w:val="40"/>
          <w:szCs w:val="40"/>
        </w:rPr>
      </w:pPr>
    </w:p>
    <w:p w:rsidR="0022246B" w:rsidRDefault="0022246B" w:rsidP="0022246B">
      <w:pPr>
        <w:jc w:val="center"/>
        <w:rPr>
          <w:b/>
          <w:sz w:val="40"/>
          <w:szCs w:val="40"/>
        </w:rPr>
      </w:pPr>
    </w:p>
    <w:p w:rsidR="0022246B" w:rsidRPr="00385DBE" w:rsidRDefault="0022246B" w:rsidP="0022246B">
      <w:pPr>
        <w:jc w:val="center"/>
        <w:rPr>
          <w:b/>
          <w:i/>
          <w:color w:val="C0C0C0"/>
          <w:sz w:val="40"/>
          <w:szCs w:val="40"/>
        </w:rPr>
      </w:pPr>
      <w:r w:rsidRPr="00385DBE">
        <w:rPr>
          <w:b/>
          <w:i/>
          <w:color w:val="C0C0C0"/>
          <w:sz w:val="40"/>
          <w:szCs w:val="40"/>
        </w:rPr>
        <w:t>Every Subject, Every Day: Building Habits of Excellence</w:t>
      </w:r>
    </w:p>
    <w:p w:rsidR="0022246B" w:rsidRDefault="0022246B" w:rsidP="0022246B">
      <w:pPr>
        <w:rPr>
          <w:b/>
          <w:sz w:val="32"/>
          <w:szCs w:val="32"/>
        </w:rPr>
      </w:pPr>
    </w:p>
    <w:p w:rsidR="0022246B" w:rsidRPr="00385DBE" w:rsidRDefault="0022246B" w:rsidP="0022246B">
      <w:pPr>
        <w:rPr>
          <w:b/>
          <w:sz w:val="32"/>
          <w:szCs w:val="32"/>
        </w:rPr>
        <w:sectPr w:rsidR="0022246B" w:rsidRPr="00385DBE" w:rsidSect="00385DBE">
          <w:pgSz w:w="16838" w:h="11906" w:orient="landscape"/>
          <w:pgMar w:top="1800" w:right="1440" w:bottom="899" w:left="719" w:header="708" w:footer="708" w:gutter="0"/>
          <w:cols w:space="708"/>
          <w:docGrid w:linePitch="360"/>
        </w:sectPr>
      </w:pPr>
    </w:p>
    <w:tbl>
      <w:tblPr>
        <w:tblStyle w:val="TableGrid"/>
        <w:tblW w:w="156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0"/>
        <w:gridCol w:w="4320"/>
        <w:gridCol w:w="4140"/>
      </w:tblGrid>
      <w:tr w:rsidR="0022246B" w:rsidTr="00D51B36">
        <w:tc>
          <w:tcPr>
            <w:tcW w:w="7200" w:type="dxa"/>
          </w:tcPr>
          <w:p w:rsidR="0022246B" w:rsidRPr="00DC0F6B" w:rsidRDefault="0022246B" w:rsidP="00D51B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1. </w:t>
            </w:r>
            <w:r w:rsidRPr="00DC0F6B">
              <w:rPr>
                <w:b/>
                <w:i/>
              </w:rPr>
              <w:t xml:space="preserve">Literacy Across </w:t>
            </w:r>
            <w:smartTag w:uri="urn:schemas-microsoft-com:office:smarttags" w:element="place">
              <w:smartTag w:uri="urn:schemas-microsoft-com:office:smarttags" w:element="PlaceName">
                <w:r w:rsidRPr="00DC0F6B">
                  <w:rPr>
                    <w:b/>
                    <w:i/>
                  </w:rPr>
                  <w:t>Learning</w:t>
                </w:r>
              </w:smartTag>
              <w:r w:rsidRPr="00DC0F6B">
                <w:rPr>
                  <w:b/>
                  <w:i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i/>
                  </w:rPr>
                  <w:t>Whole</w:t>
                </w:r>
              </w:smartTag>
              <w:r>
                <w:rPr>
                  <w:b/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i/>
                  </w:rPr>
                  <w:t>School</w:t>
                </w:r>
              </w:smartTag>
            </w:smartTag>
            <w:r>
              <w:rPr>
                <w:b/>
                <w:i/>
              </w:rPr>
              <w:t xml:space="preserve"> Focus</w:t>
            </w:r>
          </w:p>
        </w:tc>
        <w:tc>
          <w:tcPr>
            <w:tcW w:w="4320" w:type="dxa"/>
          </w:tcPr>
          <w:p w:rsidR="0022246B" w:rsidRPr="001A3C0E" w:rsidRDefault="0022246B" w:rsidP="00D51B36">
            <w:pPr>
              <w:jc w:val="center"/>
              <w:rPr>
                <w:b/>
              </w:rPr>
            </w:pPr>
            <w:r w:rsidRPr="001A3C0E">
              <w:rPr>
                <w:b/>
              </w:rPr>
              <w:t>2014-15  IMPACT YEAR</w:t>
            </w:r>
          </w:p>
        </w:tc>
        <w:tc>
          <w:tcPr>
            <w:tcW w:w="4140" w:type="dxa"/>
          </w:tcPr>
          <w:p w:rsidR="0022246B" w:rsidRPr="00100FBB" w:rsidRDefault="0022246B" w:rsidP="00D51B36">
            <w:pPr>
              <w:jc w:val="center"/>
              <w:rPr>
                <w:b/>
              </w:rPr>
            </w:pPr>
            <w:r>
              <w:rPr>
                <w:b/>
              </w:rPr>
              <w:t>2015-16 – 2016-18</w:t>
            </w:r>
            <w:r w:rsidRPr="00100FBB">
              <w:rPr>
                <w:b/>
              </w:rPr>
              <w:t xml:space="preserve">  IMPACT YEAR</w:t>
            </w:r>
            <w:r>
              <w:rPr>
                <w:b/>
              </w:rPr>
              <w:t>S</w:t>
            </w:r>
          </w:p>
        </w:tc>
      </w:tr>
      <w:tr w:rsidR="0022246B" w:rsidTr="00D51B36">
        <w:trPr>
          <w:trHeight w:val="10495"/>
        </w:trPr>
        <w:tc>
          <w:tcPr>
            <w:tcW w:w="7200" w:type="dxa"/>
          </w:tcPr>
          <w:tbl>
            <w:tblPr>
              <w:tblStyle w:val="TableGrid"/>
              <w:tblW w:w="4328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487"/>
              <w:gridCol w:w="841"/>
            </w:tblGrid>
            <w:tr w:rsidR="0022246B" w:rsidRPr="001D25E9" w:rsidTr="00D51B36">
              <w:trPr>
                <w:trHeight w:val="2218"/>
              </w:trPr>
              <w:tc>
                <w:tcPr>
                  <w:tcW w:w="3487" w:type="dxa"/>
                  <w:shd w:val="clear" w:color="auto" w:fill="FFFFFF"/>
                </w:tcPr>
                <w:p w:rsidR="0022246B" w:rsidRPr="00245700" w:rsidRDefault="0022246B" w:rsidP="00D51B36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245700">
                    <w:rPr>
                      <w:b/>
                      <w:i/>
                      <w:sz w:val="22"/>
                      <w:szCs w:val="22"/>
                    </w:rPr>
                    <w:t>Writing</w:t>
                  </w:r>
                </w:p>
                <w:p w:rsidR="0022246B" w:rsidRPr="00245700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  <w:t xml:space="preserve">In every subject, every day, </w:t>
                  </w:r>
                </w:p>
                <w:p w:rsidR="0022246B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  <w:t xml:space="preserve">I use the little orange </w:t>
                  </w:r>
                </w:p>
                <w:p w:rsidR="0022246B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  <w:t>Vocabulary and Spelling jotter to</w:t>
                  </w:r>
                </w:p>
                <w:p w:rsidR="0022246B" w:rsidRPr="00245700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</w:p>
                <w:p w:rsidR="0022246B" w:rsidRPr="00245700" w:rsidRDefault="0022246B" w:rsidP="00D51B36">
                  <w:pPr>
                    <w:ind w:left="360" w:hanging="288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 w:rsidRPr="00245700"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  <w:t></w:t>
                  </w: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>record and use new words</w:t>
                  </w:r>
                </w:p>
                <w:p w:rsidR="0022246B" w:rsidRPr="001D25E9" w:rsidRDefault="0022246B" w:rsidP="00D51B36">
                  <w:pPr>
                    <w:ind w:left="360" w:hanging="288"/>
                    <w:rPr>
                      <w:rFonts w:ascii="Bradley Hand ITC" w:hAnsi="Bradley Hand ITC"/>
                      <w:sz w:val="36"/>
                      <w:szCs w:val="36"/>
                    </w:rPr>
                  </w:pPr>
                  <w:r w:rsidRPr="00245700"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  <w:t></w:t>
                  </w: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>check spellings</w:t>
                  </w:r>
                  <w:r w:rsidRPr="001D25E9">
                    <w:rPr>
                      <w:rFonts w:ascii="Bradley Hand ITC" w:hAnsi="Bradley Hand ITC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41" w:type="dxa"/>
                  <w:shd w:val="solid" w:color="auto" w:fill="FF0000"/>
                </w:tcPr>
                <w:p w:rsidR="0022246B" w:rsidRPr="00E56EA7" w:rsidRDefault="0022246B" w:rsidP="00D51B36">
                  <w:pPr>
                    <w:jc w:val="center"/>
                    <w:rPr>
                      <w:rFonts w:ascii="Bradley Hand ITC" w:hAnsi="Bradley Hand ITC"/>
                      <w:sz w:val="36"/>
                      <w:szCs w:val="36"/>
                      <w:highlight w:val="red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6985</wp:posOffset>
                        </wp:positionV>
                        <wp:extent cx="2286000" cy="1398905"/>
                        <wp:effectExtent l="19050" t="19050" r="19050" b="10795"/>
                        <wp:wrapNone/>
                        <wp:docPr id="8" name="Picture 8" descr="orange_jott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range_jott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39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2246B" w:rsidRPr="001D25E9" w:rsidTr="00D51B36">
              <w:trPr>
                <w:trHeight w:val="2401"/>
              </w:trPr>
              <w:tc>
                <w:tcPr>
                  <w:tcW w:w="3487" w:type="dxa"/>
                  <w:shd w:val="clear" w:color="auto" w:fill="FFFFFF"/>
                </w:tcPr>
                <w:p w:rsidR="0022246B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  <w:t xml:space="preserve">In every subject, every day, </w:t>
                  </w:r>
                </w:p>
                <w:p w:rsidR="0022246B" w:rsidRPr="00245700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</w:p>
                <w:p w:rsidR="0022246B" w:rsidRDefault="0022246B" w:rsidP="00D51B36">
                  <w:pPr>
                    <w:ind w:left="612" w:hanging="540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 w:rsidRPr="00245700"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  <w:t></w:t>
                  </w: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 xml:space="preserve">I give myself a Literacy aim  </w:t>
                  </w:r>
                </w:p>
                <w:p w:rsidR="0022246B" w:rsidRPr="00245700" w:rsidRDefault="0022246B" w:rsidP="00D51B36">
                  <w:pPr>
                    <w:ind w:left="612" w:hanging="540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  <w:t></w:t>
                  </w: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 xml:space="preserve">when writing </w:t>
                  </w:r>
                </w:p>
                <w:p w:rsidR="0022246B" w:rsidRDefault="0022246B" w:rsidP="00D51B36">
                  <w:pPr>
                    <w:ind w:left="612" w:hanging="612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 w:rsidRPr="00245700"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  <w:t></w:t>
                  </w: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 xml:space="preserve">I review and edit my work with </w:t>
                  </w:r>
                </w:p>
                <w:p w:rsidR="0022246B" w:rsidRPr="00993C31" w:rsidRDefault="0022246B" w:rsidP="00D51B36">
                  <w:pPr>
                    <w:ind w:left="612" w:hanging="612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  <w:t></w:t>
                  </w: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>pride</w:t>
                  </w:r>
                </w:p>
              </w:tc>
              <w:tc>
                <w:tcPr>
                  <w:tcW w:w="841" w:type="dxa"/>
                  <w:shd w:val="clear" w:color="auto" w:fill="FFFFFF"/>
                </w:tcPr>
                <w:p w:rsidR="0022246B" w:rsidRPr="00E56EA7" w:rsidRDefault="0022246B" w:rsidP="00D51B36">
                  <w:pPr>
                    <w:jc w:val="center"/>
                    <w:rPr>
                      <w:rFonts w:ascii="Bradley Hand ITC" w:hAnsi="Bradley Hand ITC"/>
                      <w:sz w:val="36"/>
                      <w:szCs w:val="36"/>
                      <w:highlight w:val="red"/>
                    </w:rPr>
                  </w:pPr>
                  <w:r>
                    <w:rPr>
                      <w:rFonts w:ascii="Bradley Hand ITC" w:hAnsi="Bradley Hand ITC"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32385</wp:posOffset>
                        </wp:positionV>
                        <wp:extent cx="2286000" cy="1485900"/>
                        <wp:effectExtent l="19050" t="19050" r="19050" b="19050"/>
                        <wp:wrapNone/>
                        <wp:docPr id="7" name="Picture 7" descr="100_0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00_0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2246B" w:rsidRPr="00D53A22" w:rsidRDefault="0022246B" w:rsidP="00D51B36">
            <w:pPr>
              <w:rPr>
                <w:b/>
                <w:i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269875</wp:posOffset>
                  </wp:positionV>
                  <wp:extent cx="2286000" cy="1328420"/>
                  <wp:effectExtent l="19050" t="19050" r="19050" b="24130"/>
                  <wp:wrapNone/>
                  <wp:docPr id="6" name="Picture 6" descr="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7200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3420"/>
            </w:tblGrid>
            <w:tr w:rsidR="0022246B" w:rsidRPr="001D25E9" w:rsidTr="00D51B36">
              <w:trPr>
                <w:trHeight w:val="2036"/>
              </w:trPr>
              <w:tc>
                <w:tcPr>
                  <w:tcW w:w="3780" w:type="dxa"/>
                  <w:shd w:val="clear" w:color="auto" w:fill="FFFFFF"/>
                </w:tcPr>
                <w:p w:rsidR="0022246B" w:rsidRPr="00245700" w:rsidRDefault="0022246B" w:rsidP="00D51B36">
                  <w:pPr>
                    <w:rPr>
                      <w:b/>
                      <w:i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245700">
                        <w:rPr>
                          <w:b/>
                          <w:i/>
                          <w:sz w:val="22"/>
                          <w:szCs w:val="22"/>
                        </w:rPr>
                        <w:t>Reading</w:t>
                      </w:r>
                    </w:smartTag>
                  </w:smartTag>
                  <w:r w:rsidRPr="00245700">
                    <w:rPr>
                      <w:b/>
                      <w:i/>
                      <w:sz w:val="22"/>
                      <w:szCs w:val="22"/>
                    </w:rPr>
                    <w:t xml:space="preserve"> and Listening</w:t>
                  </w:r>
                </w:p>
                <w:p w:rsidR="0022246B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  <w:t xml:space="preserve">In every subject, every day, </w:t>
                  </w:r>
                </w:p>
                <w:p w:rsidR="0022246B" w:rsidRPr="00245700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</w:p>
                <w:p w:rsidR="0022246B" w:rsidRDefault="0022246B" w:rsidP="00D51B36">
                  <w:pPr>
                    <w:ind w:left="612" w:hanging="540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 w:rsidRPr="00245700"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  <w:t></w:t>
                  </w: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 xml:space="preserve">I use the advice on the classroom </w:t>
                  </w:r>
                </w:p>
                <w:p w:rsidR="0022246B" w:rsidRDefault="0022246B" w:rsidP="00D51B36">
                  <w:pPr>
                    <w:ind w:left="612" w:hanging="540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 xml:space="preserve">posters to develop my note-taking </w:t>
                  </w:r>
                </w:p>
                <w:p w:rsidR="0022246B" w:rsidRPr="00245700" w:rsidRDefault="0022246B" w:rsidP="00D51B36">
                  <w:pPr>
                    <w:ind w:left="612" w:hanging="540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>and summarising skills</w:t>
                  </w:r>
                </w:p>
                <w:p w:rsidR="0022246B" w:rsidRPr="00245700" w:rsidRDefault="0022246B" w:rsidP="00D51B36">
                  <w:pPr>
                    <w:tabs>
                      <w:tab w:val="left" w:pos="2100"/>
                    </w:tabs>
                    <w:rPr>
                      <w:rFonts w:ascii="Bradley Hand ITC" w:hAnsi="Bradley Hand ITC"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shd w:val="clear" w:color="auto" w:fill="FFFFFF"/>
                </w:tcPr>
                <w:p w:rsidR="0022246B" w:rsidRPr="001D25E9" w:rsidRDefault="0022246B" w:rsidP="00D51B36">
                  <w:pPr>
                    <w:ind w:firstLine="419"/>
                    <w:rPr>
                      <w:rFonts w:ascii="Bradley Hand ITC" w:hAnsi="Bradley Hand ITC"/>
                      <w:sz w:val="40"/>
                      <w:szCs w:val="40"/>
                    </w:rPr>
                  </w:pPr>
                </w:p>
              </w:tc>
            </w:tr>
          </w:tbl>
          <w:p w:rsidR="0022246B" w:rsidRPr="00D53A22" w:rsidRDefault="0022246B" w:rsidP="00D51B36">
            <w:pPr>
              <w:jc w:val="center"/>
              <w:rPr>
                <w:b/>
                <w:i/>
                <w:sz w:val="40"/>
                <w:szCs w:val="40"/>
              </w:rPr>
            </w:pPr>
          </w:p>
          <w:tbl>
            <w:tblPr>
              <w:tblStyle w:val="TableGrid"/>
              <w:tblW w:w="7200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487"/>
              <w:gridCol w:w="3713"/>
            </w:tblGrid>
            <w:tr w:rsidR="0022246B" w:rsidRPr="001D25E9" w:rsidTr="00D51B36">
              <w:trPr>
                <w:trHeight w:val="1870"/>
              </w:trPr>
              <w:tc>
                <w:tcPr>
                  <w:tcW w:w="3487" w:type="dxa"/>
                  <w:shd w:val="clear" w:color="auto" w:fill="FFFFFF"/>
                </w:tcPr>
                <w:p w:rsidR="0022246B" w:rsidRPr="00245700" w:rsidRDefault="0022246B" w:rsidP="00D51B36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245700">
                    <w:rPr>
                      <w:b/>
                      <w:i/>
                      <w:sz w:val="22"/>
                      <w:szCs w:val="22"/>
                    </w:rPr>
                    <w:t>Talking</w:t>
                  </w:r>
                </w:p>
                <w:p w:rsidR="0022246B" w:rsidRDefault="0022246B" w:rsidP="00D51B36">
                  <w:pPr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  <w:t xml:space="preserve">In every subject, every day, </w:t>
                  </w:r>
                </w:p>
                <w:p w:rsidR="0022246B" w:rsidRPr="00245700" w:rsidRDefault="0022246B" w:rsidP="00D51B36">
                  <w:pPr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</w:pPr>
                </w:p>
                <w:p w:rsidR="0022246B" w:rsidRDefault="0022246B" w:rsidP="00D51B36">
                  <w:pPr>
                    <w:ind w:left="72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 w:rsidRPr="00245700">
                    <w:rPr>
                      <w:rFonts w:ascii="Wingdings 2" w:hAnsi="Wingdings 2"/>
                      <w:b/>
                      <w:color w:val="FF0000"/>
                      <w:sz w:val="22"/>
                      <w:szCs w:val="22"/>
                    </w:rPr>
                    <w:t></w:t>
                  </w: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 xml:space="preserve">I consider the success criteria </w:t>
                  </w:r>
                </w:p>
                <w:p w:rsidR="0022246B" w:rsidRPr="00B24A11" w:rsidRDefault="0022246B" w:rsidP="00D51B36">
                  <w:pPr>
                    <w:ind w:left="72"/>
                    <w:rPr>
                      <w:rFonts w:ascii="Bradley Hand ITC" w:hAnsi="Bradley Hand ITC"/>
                      <w:b/>
                      <w:sz w:val="22"/>
                      <w:szCs w:val="22"/>
                    </w:rPr>
                  </w:pPr>
                  <w:r w:rsidRPr="00245700">
                    <w:rPr>
                      <w:rFonts w:ascii="Bradley Hand ITC" w:hAnsi="Bradley Hand ITC"/>
                      <w:b/>
                      <w:sz w:val="22"/>
                      <w:szCs w:val="22"/>
                    </w:rPr>
                    <w:t>for discussions and presentations</w:t>
                  </w:r>
                </w:p>
              </w:tc>
              <w:tc>
                <w:tcPr>
                  <w:tcW w:w="3713" w:type="dxa"/>
                  <w:shd w:val="clear" w:color="auto" w:fill="CCFFCC"/>
                </w:tcPr>
                <w:p w:rsidR="0022246B" w:rsidRPr="00245700" w:rsidRDefault="0022246B" w:rsidP="00D51B36">
                  <w:pPr>
                    <w:shd w:val="clear" w:color="auto" w:fill="CCFFCC"/>
                    <w:ind w:left="432" w:hanging="373"/>
                    <w:rPr>
                      <w:sz w:val="22"/>
                      <w:szCs w:val="22"/>
                    </w:rPr>
                  </w:pPr>
                  <w:r w:rsidRPr="00245700">
                    <w:rPr>
                      <w:color w:val="FF0000"/>
                      <w:sz w:val="22"/>
                      <w:szCs w:val="22"/>
                    </w:rPr>
                    <w:sym w:font="Wingdings 2" w:char="F050"/>
                  </w:r>
                  <w:r w:rsidRPr="00245700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I can contribute relevantly and   </w:t>
                  </w:r>
                  <w:r w:rsidRPr="00245700">
                    <w:rPr>
                      <w:sz w:val="22"/>
                      <w:szCs w:val="22"/>
                    </w:rPr>
                    <w:t>clearly.</w:t>
                  </w:r>
                </w:p>
                <w:p w:rsidR="0022246B" w:rsidRPr="00245700" w:rsidRDefault="0022246B" w:rsidP="00D51B36">
                  <w:pPr>
                    <w:shd w:val="clear" w:color="auto" w:fill="CCFFCC"/>
                    <w:ind w:left="419" w:hanging="360"/>
                    <w:rPr>
                      <w:sz w:val="22"/>
                      <w:szCs w:val="22"/>
                    </w:rPr>
                  </w:pPr>
                  <w:r w:rsidRPr="00245700">
                    <w:rPr>
                      <w:color w:val="FF0000"/>
                      <w:sz w:val="22"/>
                      <w:szCs w:val="22"/>
                    </w:rPr>
                    <w:sym w:font="Wingdings 2" w:char="F050"/>
                  </w:r>
                  <w:r w:rsidRPr="00245700">
                    <w:rPr>
                      <w:sz w:val="22"/>
                      <w:szCs w:val="22"/>
                    </w:rPr>
                    <w:t xml:space="preserve">  I can remain focused throughout the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45700">
                    <w:rPr>
                      <w:sz w:val="22"/>
                      <w:szCs w:val="22"/>
                    </w:rPr>
                    <w:t>discussion or presentation.</w:t>
                  </w:r>
                </w:p>
                <w:p w:rsidR="0022246B" w:rsidRPr="00245700" w:rsidRDefault="0022246B" w:rsidP="00D51B36">
                  <w:pPr>
                    <w:shd w:val="clear" w:color="auto" w:fill="CCFFCC"/>
                    <w:ind w:left="419" w:hanging="360"/>
                    <w:rPr>
                      <w:sz w:val="22"/>
                      <w:szCs w:val="22"/>
                    </w:rPr>
                  </w:pPr>
                  <w:r w:rsidRPr="00245700">
                    <w:rPr>
                      <w:color w:val="FF0000"/>
                      <w:sz w:val="22"/>
                      <w:szCs w:val="22"/>
                    </w:rPr>
                    <w:sym w:font="Wingdings 2" w:char="F050"/>
                  </w:r>
                  <w:r w:rsidRPr="00245700">
                    <w:rPr>
                      <w:sz w:val="22"/>
                      <w:szCs w:val="22"/>
                    </w:rPr>
                    <w:t xml:space="preserve">  I can engage with and encourage others by using positive body language and eye contact.</w:t>
                  </w:r>
                </w:p>
                <w:p w:rsidR="0022246B" w:rsidRPr="00AB5C42" w:rsidRDefault="0022246B" w:rsidP="00D51B36">
                  <w:pPr>
                    <w:shd w:val="clear" w:color="auto" w:fill="CCFFCC"/>
                    <w:ind w:left="419" w:hanging="360"/>
                    <w:rPr>
                      <w:b/>
                      <w:sz w:val="28"/>
                      <w:szCs w:val="28"/>
                    </w:rPr>
                  </w:pPr>
                  <w:r w:rsidRPr="00245700">
                    <w:rPr>
                      <w:color w:val="FF0000"/>
                      <w:sz w:val="22"/>
                      <w:szCs w:val="22"/>
                    </w:rPr>
                    <w:sym w:font="Wingdings 2" w:char="F050"/>
                  </w:r>
                  <w:r w:rsidRPr="00245700">
                    <w:rPr>
                      <w:sz w:val="22"/>
                      <w:szCs w:val="22"/>
                    </w:rPr>
                    <w:t xml:space="preserve">  I can discuss issues in a positive way even when I disagree with comments made.</w:t>
                  </w:r>
                </w:p>
              </w:tc>
            </w:tr>
          </w:tbl>
          <w:p w:rsidR="0022246B" w:rsidRPr="00771298" w:rsidRDefault="0022246B" w:rsidP="00D51B36">
            <w:pPr>
              <w:ind w:right="-694"/>
              <w:rPr>
                <w:b/>
                <w:i/>
                <w:color w:val="999999"/>
                <w:sz w:val="28"/>
                <w:szCs w:val="28"/>
              </w:rPr>
            </w:pPr>
            <w:r w:rsidRPr="00245700">
              <w:rPr>
                <w:b/>
                <w:i/>
                <w:color w:val="999999"/>
                <w:sz w:val="28"/>
                <w:szCs w:val="28"/>
              </w:rPr>
              <w:t xml:space="preserve"> </w:t>
            </w:r>
            <w:r w:rsidRPr="00245700">
              <w:rPr>
                <w:b/>
                <w:i/>
                <w:color w:val="808080"/>
                <w:sz w:val="28"/>
                <w:szCs w:val="28"/>
              </w:rPr>
              <w:t>Literacy Across Learning: Building Habits of Excellenc</w:t>
            </w:r>
            <w:r>
              <w:rPr>
                <w:b/>
                <w:i/>
                <w:color w:val="808080"/>
                <w:sz w:val="28"/>
                <w:szCs w:val="28"/>
              </w:rPr>
              <w:t>e</w:t>
            </w:r>
          </w:p>
        </w:tc>
        <w:tc>
          <w:tcPr>
            <w:tcW w:w="4320" w:type="dxa"/>
          </w:tcPr>
          <w:p w:rsidR="0022246B" w:rsidRDefault="0022246B" w:rsidP="00D51B36"/>
          <w:p w:rsidR="0022246B" w:rsidRPr="00BA173B" w:rsidRDefault="0022246B" w:rsidP="00D51B36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Where are we now- 2013/14?</w:t>
            </w:r>
          </w:p>
          <w:p w:rsidR="0022246B" w:rsidRPr="00BA173B" w:rsidRDefault="0022246B" w:rsidP="00D51B36">
            <w:pPr>
              <w:ind w:left="360"/>
              <w:jc w:val="both"/>
              <w:rPr>
                <w:sz w:val="22"/>
                <w:szCs w:val="22"/>
              </w:rPr>
            </w:pPr>
          </w:p>
          <w:p w:rsidR="0022246B" w:rsidRPr="00BA173B" w:rsidRDefault="0022246B" w:rsidP="00D51B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All departments have contributed to the identification of the Literacy Skills opposite as key to raising attainment.</w:t>
            </w:r>
          </w:p>
          <w:p w:rsidR="0022246B" w:rsidRPr="00BA173B" w:rsidRDefault="0022246B" w:rsidP="00D51B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All pupils have the p</w:t>
            </w:r>
            <w:r>
              <w:rPr>
                <w:sz w:val="22"/>
                <w:szCs w:val="22"/>
              </w:rPr>
              <w:t>oster in their homework diaries.</w:t>
            </w:r>
          </w:p>
          <w:p w:rsidR="0022246B" w:rsidRPr="00BA173B" w:rsidRDefault="0022246B" w:rsidP="00D51B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LAL </w:t>
            </w:r>
            <w:r w:rsidRPr="00BA173B">
              <w:rPr>
                <w:sz w:val="22"/>
                <w:szCs w:val="22"/>
              </w:rPr>
              <w:t>poster</w:t>
            </w:r>
            <w:r>
              <w:rPr>
                <w:sz w:val="22"/>
                <w:szCs w:val="22"/>
              </w:rPr>
              <w:t>, note taking poster</w:t>
            </w:r>
            <w:r w:rsidRPr="00BA173B">
              <w:rPr>
                <w:sz w:val="22"/>
                <w:szCs w:val="22"/>
              </w:rPr>
              <w:t xml:space="preserve"> and Literacy Across </w:t>
            </w:r>
            <w:r>
              <w:rPr>
                <w:sz w:val="22"/>
                <w:szCs w:val="22"/>
              </w:rPr>
              <w:t>Learning quick reference card are</w:t>
            </w:r>
            <w:r w:rsidRPr="00BA173B">
              <w:rPr>
                <w:sz w:val="22"/>
                <w:szCs w:val="22"/>
              </w:rPr>
              <w:t xml:space="preserve"> available to all teachers.</w:t>
            </w:r>
          </w:p>
          <w:p w:rsidR="0022246B" w:rsidRPr="00BA173B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Pr="00BA173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What’s the plan 2014/15?</w:t>
            </w:r>
          </w:p>
          <w:p w:rsidR="0022246B" w:rsidRPr="00BA173B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Pr="00BA173B" w:rsidRDefault="0022246B" w:rsidP="00D51B3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In all subjects, teachers are expected to provide opportunity, when relevant, for pupils to develop the skills opposite.</w:t>
            </w:r>
          </w:p>
          <w:p w:rsidR="0022246B" w:rsidRPr="00BA173B" w:rsidRDefault="0022246B" w:rsidP="00D51B3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All departments will include the plan to consistently provide opportunity for pupils to develop these skills in the 2014-15 Action Plans.</w:t>
            </w:r>
          </w:p>
          <w:p w:rsidR="0022246B" w:rsidRPr="00BA173B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Pr="00BA173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Pr="00BA173B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Pr="00BA173B" w:rsidRDefault="0022246B" w:rsidP="00D51B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Self-evaluation of all departments will consider the consistency with which pupils experience opportunity to develop the identified skills.</w:t>
            </w:r>
          </w:p>
          <w:p w:rsidR="0022246B" w:rsidRPr="00BA173B" w:rsidRDefault="0022246B" w:rsidP="00D51B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Pupil surveys in October and May will be conducted- to ascertain how consistently they are developing the identified skills across the curriculum.</w:t>
            </w:r>
          </w:p>
          <w:p w:rsidR="0022246B" w:rsidRPr="00DA7BBE" w:rsidRDefault="0022246B" w:rsidP="00D51B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A7BBE">
              <w:rPr>
                <w:sz w:val="22"/>
                <w:szCs w:val="22"/>
              </w:rPr>
              <w:t>Learner conversations wil</w:t>
            </w:r>
            <w:r>
              <w:rPr>
                <w:sz w:val="22"/>
                <w:szCs w:val="22"/>
              </w:rPr>
              <w:t>l take place in October and May to gauge the pupil perspective.</w:t>
            </w:r>
          </w:p>
          <w:p w:rsidR="0022246B" w:rsidRDefault="0022246B" w:rsidP="00D51B36">
            <w:pPr>
              <w:numPr>
                <w:ilvl w:val="0"/>
                <w:numId w:val="2"/>
              </w:numPr>
              <w:jc w:val="both"/>
            </w:pPr>
            <w:r w:rsidRPr="00DA7BBE">
              <w:rPr>
                <w:sz w:val="22"/>
                <w:szCs w:val="22"/>
              </w:rPr>
              <w:t xml:space="preserve">Attainment progression in </w:t>
            </w:r>
            <w:smartTag w:uri="urn:schemas-microsoft-com:office:smarttags" w:element="place">
              <w:smartTag w:uri="urn:schemas-microsoft-com:office:smarttags" w:element="City">
                <w:r w:rsidRPr="00DA7BBE">
                  <w:rPr>
                    <w:sz w:val="22"/>
                    <w:szCs w:val="22"/>
                  </w:rPr>
                  <w:t>Reading</w:t>
                </w:r>
              </w:smartTag>
            </w:smartTag>
            <w:r w:rsidRPr="00DA7BBE">
              <w:rPr>
                <w:sz w:val="22"/>
                <w:szCs w:val="22"/>
              </w:rPr>
              <w:t>, Writing and Talking and Listening is routinely conducted from S1 to S3 in English.</w:t>
            </w:r>
          </w:p>
        </w:tc>
        <w:tc>
          <w:tcPr>
            <w:tcW w:w="4140" w:type="dxa"/>
          </w:tcPr>
          <w:p w:rsidR="0022246B" w:rsidRDefault="0022246B" w:rsidP="00D51B36">
            <w:pPr>
              <w:jc w:val="center"/>
            </w:pPr>
            <w:r>
              <w:rPr>
                <w:rFonts w:ascii="Bradley Hand ITC" w:hAnsi="Bradley Hand ITC"/>
                <w:noProof/>
                <w:sz w:val="36"/>
                <w:szCs w:val="36"/>
              </w:rPr>
              <w:drawing>
                <wp:inline distT="0" distB="0" distL="0" distR="0">
                  <wp:extent cx="2204720" cy="1645920"/>
                  <wp:effectExtent l="0" t="0" r="5080" b="0"/>
                  <wp:docPr id="5" name="Picture 5" descr="WPCATPVCFMCA06VNLCCAIBQZMXCANWYKU4CAM68ZV2CAWHIZTECA9W5F0ICAT0MCXFCANESVYJCAQ0HCXMCAWO53PHCAV06MZYCA27I738CAK893Y7CA5EGEVGCASBVKPCCANIICTMCAAHEIS5CAZZUN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CATPVCFMCA06VNLCCAIBQZMXCANWYKU4CAM68ZV2CAWHIZTECA9W5F0ICAT0MCXFCANESVYJCAQ0HCXMCAWO53PHCAV06MZYCA27I738CAK893Y7CA5EGEVGCASBVKPCCANIICTMCAAHEIS5CAZZUN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46B" w:rsidRPr="00B35B1B" w:rsidRDefault="0022246B" w:rsidP="00D51B36"/>
          <w:p w:rsidR="0022246B" w:rsidRDefault="0022246B" w:rsidP="00D51B36"/>
          <w:p w:rsidR="0022246B" w:rsidRPr="00BA173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What’s the plan 2015/16</w:t>
            </w:r>
            <w:r>
              <w:rPr>
                <w:b/>
                <w:sz w:val="22"/>
                <w:szCs w:val="22"/>
              </w:rPr>
              <w:t xml:space="preserve"> and beyond</w:t>
            </w:r>
            <w:r w:rsidRPr="00BA173B">
              <w:rPr>
                <w:b/>
                <w:sz w:val="22"/>
                <w:szCs w:val="22"/>
              </w:rPr>
              <w:t>?</w:t>
            </w:r>
          </w:p>
          <w:p w:rsidR="0022246B" w:rsidRPr="00BA173B" w:rsidRDefault="0022246B" w:rsidP="00D51B36">
            <w:pPr>
              <w:jc w:val="center"/>
              <w:rPr>
                <w:b/>
                <w:sz w:val="22"/>
                <w:szCs w:val="22"/>
              </w:rPr>
            </w:pPr>
          </w:p>
          <w:p w:rsidR="0022246B" w:rsidRPr="00BA173B" w:rsidRDefault="0022246B" w:rsidP="00D51B3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Pupils will habitually experience the identified skills, where relevant, in all classrooms.</w:t>
            </w:r>
          </w:p>
          <w:p w:rsidR="0022246B" w:rsidRPr="00BA173B" w:rsidRDefault="0022246B" w:rsidP="00D51B3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At identified sharing of good practice sessions</w:t>
            </w:r>
            <w:r>
              <w:rPr>
                <w:sz w:val="22"/>
                <w:szCs w:val="22"/>
              </w:rPr>
              <w:t>/inservice</w:t>
            </w:r>
            <w:r w:rsidRPr="00BA173B">
              <w:rPr>
                <w:sz w:val="22"/>
                <w:szCs w:val="22"/>
              </w:rPr>
              <w:t xml:space="preserve">, staff will consider how best to develop the core skills of editing, note-taking, summarising, discussing </w:t>
            </w:r>
            <w:r>
              <w:rPr>
                <w:sz w:val="22"/>
                <w:szCs w:val="22"/>
              </w:rPr>
              <w:t xml:space="preserve">etc </w:t>
            </w:r>
            <w:r w:rsidRPr="00BA173B">
              <w:rPr>
                <w:sz w:val="22"/>
                <w:szCs w:val="22"/>
              </w:rPr>
              <w:t>through levels 2/3/4.</w:t>
            </w:r>
          </w:p>
          <w:p w:rsidR="0022246B" w:rsidRDefault="0022246B" w:rsidP="00D51B3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A173B">
              <w:rPr>
                <w:sz w:val="22"/>
                <w:szCs w:val="22"/>
              </w:rPr>
              <w:t>The Literacy website will feature examples of good practice, examples of level-related work and celebrate achievement.</w:t>
            </w:r>
          </w:p>
          <w:p w:rsidR="0022246B" w:rsidRPr="00BA173B" w:rsidRDefault="0022246B" w:rsidP="00D51B3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will take ownership of the LAL website- designing pages, uploading work etc</w:t>
            </w:r>
          </w:p>
          <w:p w:rsidR="0022246B" w:rsidRDefault="0022246B" w:rsidP="00D51B36">
            <w:pPr>
              <w:ind w:firstLine="720"/>
            </w:pPr>
          </w:p>
          <w:p w:rsidR="0022246B" w:rsidRPr="00BA173B" w:rsidRDefault="0022246B" w:rsidP="00D51B36">
            <w:pPr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Default="0022246B" w:rsidP="00D51B36">
            <w:pPr>
              <w:ind w:firstLine="720"/>
            </w:pPr>
          </w:p>
          <w:p w:rsidR="0022246B" w:rsidRPr="00352B85" w:rsidRDefault="0022246B" w:rsidP="00D51B36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52B85">
              <w:rPr>
                <w:sz w:val="22"/>
                <w:szCs w:val="22"/>
              </w:rPr>
              <w:t>A range of QA measures will ascertain the consistency of pupil experience and evaluate the pupil perspective.</w:t>
            </w:r>
          </w:p>
          <w:p w:rsidR="0022246B" w:rsidRPr="00352B85" w:rsidRDefault="0022246B" w:rsidP="00D51B36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52B85">
              <w:rPr>
                <w:sz w:val="22"/>
                <w:szCs w:val="22"/>
              </w:rPr>
              <w:t>Resources and sharing of good practice sessions will be created and time-tabled.</w:t>
            </w:r>
          </w:p>
          <w:p w:rsidR="0022246B" w:rsidRPr="00B35B1B" w:rsidRDefault="0022246B" w:rsidP="00D51B36">
            <w:pPr>
              <w:numPr>
                <w:ilvl w:val="0"/>
                <w:numId w:val="5"/>
              </w:numPr>
              <w:jc w:val="both"/>
            </w:pPr>
            <w:r w:rsidRPr="00352B85">
              <w:rPr>
                <w:sz w:val="22"/>
                <w:szCs w:val="22"/>
              </w:rPr>
              <w:t xml:space="preserve">Samples of evidence of attainment in </w:t>
            </w:r>
            <w:smartTag w:uri="urn:schemas-microsoft-com:office:smarttags" w:element="City">
              <w:smartTag w:uri="urn:schemas-microsoft-com:office:smarttags" w:element="place">
                <w:r w:rsidRPr="00352B85">
                  <w:rPr>
                    <w:sz w:val="22"/>
                    <w:szCs w:val="22"/>
                  </w:rPr>
                  <w:t>Reading</w:t>
                </w:r>
              </w:smartTag>
            </w:smartTag>
            <w:r w:rsidRPr="00352B85">
              <w:rPr>
                <w:sz w:val="22"/>
                <w:szCs w:val="22"/>
              </w:rPr>
              <w:t>, Writing and Talking and Listening will be taken across the curriculum.</w:t>
            </w:r>
          </w:p>
        </w:tc>
      </w:tr>
    </w:tbl>
    <w:p w:rsidR="0022246B" w:rsidRDefault="0022246B" w:rsidP="0022246B"/>
    <w:tbl>
      <w:tblPr>
        <w:tblStyle w:val="TableGrid"/>
        <w:tblW w:w="15588" w:type="dxa"/>
        <w:tblLook w:val="01E0" w:firstRow="1" w:lastRow="1" w:firstColumn="1" w:lastColumn="1" w:noHBand="0" w:noVBand="0"/>
      </w:tblPr>
      <w:tblGrid>
        <w:gridCol w:w="4176"/>
        <w:gridCol w:w="4032"/>
        <w:gridCol w:w="3600"/>
        <w:gridCol w:w="3780"/>
      </w:tblGrid>
      <w:tr w:rsidR="0022246B" w:rsidTr="00D51B36">
        <w:tc>
          <w:tcPr>
            <w:tcW w:w="4176" w:type="dxa"/>
          </w:tcPr>
          <w:p w:rsidR="0022246B" w:rsidRPr="00763F34" w:rsidRDefault="0022246B" w:rsidP="00D51B36">
            <w:pPr>
              <w:rPr>
                <w:b/>
              </w:rPr>
            </w:pPr>
            <w:r w:rsidRPr="00763F34">
              <w:rPr>
                <w:b/>
              </w:rPr>
              <w:t>2. Departmental Literacy Specialisms</w:t>
            </w:r>
          </w:p>
        </w:tc>
        <w:tc>
          <w:tcPr>
            <w:tcW w:w="4032" w:type="dxa"/>
          </w:tcPr>
          <w:p w:rsidR="0022246B" w:rsidRPr="00483E93" w:rsidRDefault="0022246B" w:rsidP="00D51B36">
            <w:pPr>
              <w:jc w:val="center"/>
              <w:rPr>
                <w:b/>
              </w:rPr>
            </w:pPr>
            <w:r w:rsidRPr="00483E93">
              <w:rPr>
                <w:b/>
              </w:rPr>
              <w:t>2014/15 Development Year</w:t>
            </w:r>
          </w:p>
        </w:tc>
        <w:tc>
          <w:tcPr>
            <w:tcW w:w="3600" w:type="dxa"/>
          </w:tcPr>
          <w:p w:rsidR="0022246B" w:rsidRPr="00483E93" w:rsidRDefault="0022246B" w:rsidP="00D51B36">
            <w:pPr>
              <w:jc w:val="center"/>
              <w:rPr>
                <w:b/>
              </w:rPr>
            </w:pPr>
            <w:r w:rsidRPr="00483E93">
              <w:rPr>
                <w:b/>
              </w:rPr>
              <w:t>2015/16 Impact Year</w:t>
            </w:r>
          </w:p>
        </w:tc>
        <w:tc>
          <w:tcPr>
            <w:tcW w:w="3780" w:type="dxa"/>
          </w:tcPr>
          <w:p w:rsidR="0022246B" w:rsidRPr="00483E93" w:rsidRDefault="0022246B" w:rsidP="00D51B36">
            <w:pPr>
              <w:jc w:val="center"/>
              <w:rPr>
                <w:b/>
              </w:rPr>
            </w:pPr>
            <w:r w:rsidRPr="00483E93">
              <w:rPr>
                <w:b/>
              </w:rPr>
              <w:t>2016-2018 Impact Years</w:t>
            </w:r>
          </w:p>
        </w:tc>
      </w:tr>
      <w:tr w:rsidR="0022246B" w:rsidTr="00D51B36">
        <w:tc>
          <w:tcPr>
            <w:tcW w:w="4176" w:type="dxa"/>
          </w:tcPr>
          <w:p w:rsidR="0022246B" w:rsidRDefault="0022246B" w:rsidP="00D51B36">
            <w:r>
              <w:rPr>
                <w:noProof/>
              </w:rPr>
              <w:drawing>
                <wp:inline distT="0" distB="0" distL="0" distR="0">
                  <wp:extent cx="2509520" cy="2275840"/>
                  <wp:effectExtent l="0" t="0" r="5080" b="0"/>
                  <wp:docPr id="4" name="Picture 4" descr="images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46B" w:rsidRDefault="0022246B" w:rsidP="00D51B36"/>
          <w:p w:rsidR="0022246B" w:rsidRDefault="0022246B" w:rsidP="00D51B36">
            <w:pPr>
              <w:jc w:val="center"/>
              <w:rPr>
                <w:b/>
              </w:rPr>
            </w:pPr>
          </w:p>
          <w:p w:rsidR="0022246B" w:rsidRDefault="0022246B" w:rsidP="00D51B36">
            <w:pPr>
              <w:jc w:val="center"/>
              <w:rPr>
                <w:b/>
              </w:rPr>
            </w:pPr>
          </w:p>
          <w:p w:rsidR="0022246B" w:rsidRDefault="0022246B" w:rsidP="00D51B36">
            <w:pPr>
              <w:jc w:val="center"/>
              <w:rPr>
                <w:b/>
              </w:rPr>
            </w:pPr>
            <w:r w:rsidRPr="00167A81">
              <w:rPr>
                <w:b/>
              </w:rPr>
              <w:t>Where are we now-2013/14?</w:t>
            </w:r>
          </w:p>
          <w:p w:rsidR="0022246B" w:rsidRDefault="0022246B" w:rsidP="00D51B36"/>
          <w:p w:rsidR="0022246B" w:rsidRDefault="0022246B" w:rsidP="00D51B36">
            <w:pPr>
              <w:numPr>
                <w:ilvl w:val="0"/>
                <w:numId w:val="7"/>
              </w:numPr>
            </w:pPr>
            <w:r>
              <w:t>All departments have identified Literacy E/Os, in addition to the whole school Focus areas, in which to specialise.</w:t>
            </w:r>
          </w:p>
          <w:p w:rsidR="0022246B" w:rsidRDefault="0022246B" w:rsidP="00D51B36"/>
          <w:p w:rsidR="0022246B" w:rsidRDefault="0022246B" w:rsidP="00D51B36">
            <w:pPr>
              <w:numPr>
                <w:ilvl w:val="0"/>
                <w:numId w:val="7"/>
              </w:numPr>
            </w:pPr>
            <w:r>
              <w:t>A calendar of Departmental specialisms has been created.</w:t>
            </w:r>
          </w:p>
          <w:p w:rsidR="0022246B" w:rsidRDefault="0022246B" w:rsidP="00D51B36"/>
          <w:p w:rsidR="0022246B" w:rsidRDefault="0022246B" w:rsidP="00D51B36"/>
          <w:p w:rsidR="0022246B" w:rsidRPr="00167A81" w:rsidRDefault="0022246B" w:rsidP="00D51B36">
            <w:pPr>
              <w:numPr>
                <w:ilvl w:val="0"/>
                <w:numId w:val="7"/>
              </w:numPr>
            </w:pPr>
            <w:r>
              <w:t>Departments which have selected the same E/O have been identified. The time of year when Departments focus on their selected E/O has been identified (whether specific or ongoing).</w:t>
            </w:r>
          </w:p>
          <w:p w:rsidR="0022246B" w:rsidRDefault="0022246B" w:rsidP="00D51B36"/>
          <w:p w:rsidR="0022246B" w:rsidRPr="00167A81" w:rsidRDefault="0022246B" w:rsidP="00D51B36"/>
        </w:tc>
        <w:tc>
          <w:tcPr>
            <w:tcW w:w="4032" w:type="dxa"/>
          </w:tcPr>
          <w:p w:rsidR="0022246B" w:rsidRDefault="0022246B" w:rsidP="00D51B36"/>
          <w:p w:rsidR="0022246B" w:rsidRDefault="0022246B" w:rsidP="00D51B36">
            <w:pPr>
              <w:jc w:val="center"/>
              <w:rPr>
                <w:b/>
              </w:rPr>
            </w:pPr>
            <w:r w:rsidRPr="00483E93">
              <w:rPr>
                <w:b/>
              </w:rPr>
              <w:t>What’s the plan 2014/15?</w:t>
            </w:r>
          </w:p>
          <w:p w:rsidR="0022246B" w:rsidRDefault="0022246B" w:rsidP="00D51B36">
            <w:pPr>
              <w:jc w:val="center"/>
              <w:rPr>
                <w:b/>
              </w:rPr>
            </w:pPr>
          </w:p>
          <w:p w:rsidR="0022246B" w:rsidRPr="00594F35" w:rsidRDefault="0022246B" w:rsidP="00D51B36">
            <w:pPr>
              <w:jc w:val="both"/>
              <w:rPr>
                <w:sz w:val="22"/>
                <w:szCs w:val="22"/>
              </w:rPr>
            </w:pPr>
            <w:r w:rsidRPr="00594F35">
              <w:rPr>
                <w:sz w:val="22"/>
                <w:szCs w:val="22"/>
              </w:rPr>
              <w:t>Teaching and Learning sessions will be dedicated to the following:</w:t>
            </w:r>
          </w:p>
          <w:p w:rsidR="0022246B" w:rsidRDefault="0022246B" w:rsidP="00D51B36">
            <w:pPr>
              <w:jc w:val="center"/>
              <w:rPr>
                <w:b/>
              </w:rPr>
            </w:pPr>
          </w:p>
          <w:p w:rsidR="0022246B" w:rsidRPr="00352B85" w:rsidRDefault="0022246B" w:rsidP="00D51B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52B85">
              <w:rPr>
                <w:sz w:val="22"/>
                <w:szCs w:val="22"/>
              </w:rPr>
              <w:t>Supported by leaders of literacy (from the literacy group and English Fac</w:t>
            </w:r>
            <w:r>
              <w:rPr>
                <w:sz w:val="22"/>
                <w:szCs w:val="22"/>
              </w:rPr>
              <w:t>ulty</w:t>
            </w:r>
            <w:r w:rsidRPr="00352B85">
              <w:rPr>
                <w:sz w:val="22"/>
                <w:szCs w:val="22"/>
              </w:rPr>
              <w:t>) all Departments will create and adapt resources to emphasise</w:t>
            </w:r>
            <w:r>
              <w:rPr>
                <w:sz w:val="22"/>
                <w:szCs w:val="22"/>
              </w:rPr>
              <w:t xml:space="preserve"> and develop pupils’ experience of</w:t>
            </w:r>
            <w:r w:rsidRPr="00352B85">
              <w:rPr>
                <w:sz w:val="22"/>
                <w:szCs w:val="22"/>
              </w:rPr>
              <w:t xml:space="preserve"> their chosen literacy specialism.</w:t>
            </w:r>
            <w:r>
              <w:rPr>
                <w:sz w:val="22"/>
                <w:szCs w:val="22"/>
              </w:rPr>
              <w:t xml:space="preserve"> Teaching and Learning Community meetings will be set aside for this (starting in the Autumn Term).</w:t>
            </w:r>
          </w:p>
          <w:p w:rsidR="0022246B" w:rsidRPr="00352B85" w:rsidRDefault="0022246B" w:rsidP="00D51B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52B85">
              <w:rPr>
                <w:sz w:val="22"/>
                <w:szCs w:val="22"/>
              </w:rPr>
              <w:t>Supported by leaders of literacy (from the literacy group and English Fac</w:t>
            </w:r>
            <w:r>
              <w:rPr>
                <w:sz w:val="22"/>
                <w:szCs w:val="22"/>
              </w:rPr>
              <w:t>ulty</w:t>
            </w:r>
            <w:r w:rsidRPr="00352B85">
              <w:rPr>
                <w:sz w:val="22"/>
                <w:szCs w:val="22"/>
              </w:rPr>
              <w:t xml:space="preserve">), all teachers will develop </w:t>
            </w:r>
            <w:r>
              <w:rPr>
                <w:sz w:val="22"/>
                <w:szCs w:val="22"/>
              </w:rPr>
              <w:t>confidence in identifying success criteria in their chosen specialism and share good practice in TLC meetings.</w:t>
            </w:r>
          </w:p>
          <w:p w:rsidR="0022246B" w:rsidRPr="00352B85" w:rsidRDefault="0022246B" w:rsidP="00D51B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May/June 2015, </w:t>
            </w:r>
            <w:r w:rsidRPr="00352B85">
              <w:rPr>
                <w:sz w:val="22"/>
                <w:szCs w:val="22"/>
              </w:rPr>
              <w:t xml:space="preserve">Departments will link with other departments to share good practice and </w:t>
            </w:r>
            <w:r>
              <w:rPr>
                <w:sz w:val="22"/>
                <w:szCs w:val="22"/>
              </w:rPr>
              <w:t>develop</w:t>
            </w:r>
            <w:r w:rsidRPr="00352B85">
              <w:rPr>
                <w:sz w:val="22"/>
                <w:szCs w:val="22"/>
              </w:rPr>
              <w:t xml:space="preserve"> IDL opportunities</w:t>
            </w:r>
            <w:r>
              <w:rPr>
                <w:sz w:val="22"/>
                <w:szCs w:val="22"/>
              </w:rPr>
              <w:t xml:space="preserve"> and contexts</w:t>
            </w:r>
            <w:r w:rsidRPr="00352B85">
              <w:rPr>
                <w:sz w:val="22"/>
                <w:szCs w:val="22"/>
              </w:rPr>
              <w:t xml:space="preserve"> where meaningful.</w:t>
            </w:r>
          </w:p>
          <w:p w:rsidR="0022246B" w:rsidRPr="00F444A8" w:rsidRDefault="0022246B" w:rsidP="00D51B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range of resources will be created and shared and made available on the Literacy website.</w:t>
            </w:r>
          </w:p>
          <w:p w:rsidR="0022246B" w:rsidRDefault="0022246B" w:rsidP="00D51B36"/>
          <w:p w:rsidR="0022246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Pr="00352B85" w:rsidRDefault="0022246B" w:rsidP="00D51B36">
            <w:pPr>
              <w:jc w:val="center"/>
              <w:rPr>
                <w:b/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surveys and TLC learner conversations will establish the pupil perspective.</w:t>
            </w:r>
          </w:p>
          <w:p w:rsidR="0022246B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feedback will be gathered to evaluate the impact of Literacy specialisms on attainment.</w:t>
            </w:r>
          </w:p>
          <w:p w:rsidR="0022246B" w:rsidRPr="005A597F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work will be sampled across the curriculum.</w:t>
            </w:r>
          </w:p>
        </w:tc>
        <w:tc>
          <w:tcPr>
            <w:tcW w:w="3600" w:type="dxa"/>
          </w:tcPr>
          <w:p w:rsidR="0022246B" w:rsidRPr="002D7042" w:rsidRDefault="0022246B" w:rsidP="00D51B36"/>
          <w:p w:rsidR="0022246B" w:rsidRPr="002D7042" w:rsidRDefault="0022246B" w:rsidP="00D51B36">
            <w:pPr>
              <w:jc w:val="center"/>
              <w:rPr>
                <w:b/>
              </w:rPr>
            </w:pPr>
            <w:r w:rsidRPr="002D7042">
              <w:rPr>
                <w:b/>
              </w:rPr>
              <w:t>What’s the plan 2015/16?</w:t>
            </w:r>
          </w:p>
          <w:p w:rsidR="0022246B" w:rsidRPr="002D7042" w:rsidRDefault="0022246B" w:rsidP="00D51B36">
            <w:pPr>
              <w:rPr>
                <w:sz w:val="22"/>
                <w:szCs w:val="22"/>
              </w:rPr>
            </w:pPr>
          </w:p>
          <w:p w:rsidR="0022246B" w:rsidRPr="002D7042" w:rsidRDefault="0022246B" w:rsidP="00D51B36">
            <w:pPr>
              <w:jc w:val="both"/>
              <w:rPr>
                <w:sz w:val="22"/>
                <w:szCs w:val="22"/>
              </w:rPr>
            </w:pPr>
            <w:r w:rsidRPr="002D7042">
              <w:rPr>
                <w:sz w:val="22"/>
                <w:szCs w:val="22"/>
              </w:rPr>
              <w:t>By Aug 2015, all Departments will have created/modified resources and have shared good practice re the delivery of the chosen Literacy specialism. In 2015/16 the focus will be as follows:</w:t>
            </w:r>
          </w:p>
          <w:p w:rsidR="0022246B" w:rsidRPr="002D7042" w:rsidRDefault="0022246B" w:rsidP="00D51B36">
            <w:pPr>
              <w:rPr>
                <w:sz w:val="22"/>
                <w:szCs w:val="22"/>
              </w:rPr>
            </w:pPr>
          </w:p>
          <w:p w:rsidR="0022246B" w:rsidRPr="002D7042" w:rsidRDefault="0022246B" w:rsidP="00D51B3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D7042">
              <w:rPr>
                <w:sz w:val="22"/>
                <w:szCs w:val="22"/>
              </w:rPr>
              <w:t>Supported by leaders of literacy (from the literacy group and English Fac), in dedicated TLC  meetings, Departments will combine to share and reflect on good practice re Literacy.</w:t>
            </w:r>
          </w:p>
          <w:p w:rsidR="0022246B" w:rsidRPr="002D7042" w:rsidRDefault="0022246B" w:rsidP="00D51B3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D7042">
              <w:rPr>
                <w:sz w:val="22"/>
                <w:szCs w:val="22"/>
              </w:rPr>
              <w:t>According to plans developed in May/June 2015, Departments will engage with other Departments in developing Literacy skills in IDL contexts.</w:t>
            </w:r>
          </w:p>
          <w:p w:rsidR="0022246B" w:rsidRPr="002D7042" w:rsidRDefault="0022246B" w:rsidP="00D51B3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D7042">
              <w:rPr>
                <w:sz w:val="22"/>
                <w:szCs w:val="22"/>
              </w:rPr>
              <w:t>Pupils will create IDL features to display in school corridors/library and on the website.</w:t>
            </w:r>
          </w:p>
          <w:p w:rsidR="0022246B" w:rsidRPr="002D7042" w:rsidRDefault="0022246B" w:rsidP="00D51B36">
            <w:pPr>
              <w:rPr>
                <w:sz w:val="22"/>
                <w:szCs w:val="22"/>
              </w:rPr>
            </w:pPr>
          </w:p>
          <w:p w:rsidR="0022246B" w:rsidRPr="002D7042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2D7042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Pr="002D7042" w:rsidRDefault="0022246B" w:rsidP="00D51B36">
            <w:pPr>
              <w:jc w:val="center"/>
              <w:rPr>
                <w:b/>
                <w:sz w:val="22"/>
                <w:szCs w:val="22"/>
              </w:rPr>
            </w:pPr>
          </w:p>
          <w:p w:rsidR="0022246B" w:rsidRPr="002D7042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D7042">
              <w:rPr>
                <w:sz w:val="22"/>
                <w:szCs w:val="22"/>
              </w:rPr>
              <w:t>Literacy surveys and TLC learner conversations will establish the pupil perspective.</w:t>
            </w:r>
          </w:p>
          <w:p w:rsidR="0022246B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D7042">
              <w:rPr>
                <w:sz w:val="22"/>
                <w:szCs w:val="22"/>
              </w:rPr>
              <w:t>Teacher and pupil Literacy surveys will be conducted.</w:t>
            </w:r>
          </w:p>
          <w:p w:rsidR="0022246B" w:rsidRPr="002D7042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work will be sampled across the curriculum.</w:t>
            </w:r>
          </w:p>
          <w:p w:rsidR="0022246B" w:rsidRPr="002D7042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D7042">
              <w:rPr>
                <w:sz w:val="22"/>
                <w:szCs w:val="22"/>
              </w:rPr>
              <w:t>Display will be visible in school, highlighting the transferability of Literacy skills.</w:t>
            </w:r>
          </w:p>
        </w:tc>
        <w:tc>
          <w:tcPr>
            <w:tcW w:w="3780" w:type="dxa"/>
          </w:tcPr>
          <w:p w:rsidR="0022246B" w:rsidRDefault="0022246B" w:rsidP="00D51B36"/>
          <w:p w:rsidR="0022246B" w:rsidRDefault="0022246B" w:rsidP="00D51B36">
            <w:pPr>
              <w:jc w:val="center"/>
              <w:rPr>
                <w:b/>
              </w:rPr>
            </w:pPr>
            <w:r w:rsidRPr="00F444A8">
              <w:rPr>
                <w:b/>
              </w:rPr>
              <w:t>What’s the plan 2016-18?</w:t>
            </w:r>
          </w:p>
          <w:p w:rsidR="0022246B" w:rsidRDefault="0022246B" w:rsidP="00D51B36">
            <w:pPr>
              <w:jc w:val="center"/>
              <w:rPr>
                <w:b/>
              </w:rPr>
            </w:pPr>
          </w:p>
          <w:p w:rsidR="0022246B" w:rsidRDefault="0022246B" w:rsidP="00D51B36">
            <w:r w:rsidRPr="002D7042">
              <w:rPr>
                <w:sz w:val="22"/>
                <w:szCs w:val="22"/>
              </w:rPr>
              <w:t>According to the success of the foregoing, Departments will broaden their Literacy focus to develop further Literacy specialisms</w:t>
            </w:r>
            <w:r>
              <w:t>.</w:t>
            </w:r>
          </w:p>
          <w:p w:rsidR="0022246B" w:rsidRDefault="0022246B" w:rsidP="00D51B36"/>
          <w:p w:rsidR="0022246B" w:rsidRPr="00352B85" w:rsidRDefault="0022246B" w:rsidP="00D51B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52B8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upported by leaders of literacy,</w:t>
            </w:r>
            <w:r w:rsidRPr="00352B85">
              <w:rPr>
                <w:sz w:val="22"/>
                <w:szCs w:val="22"/>
              </w:rPr>
              <w:t xml:space="preserve"> all Departments will create and adapt resources t</w:t>
            </w:r>
            <w:r>
              <w:rPr>
                <w:sz w:val="22"/>
                <w:szCs w:val="22"/>
              </w:rPr>
              <w:t xml:space="preserve">o highlight and emphasise further </w:t>
            </w:r>
            <w:r w:rsidRPr="00352B85">
              <w:rPr>
                <w:sz w:val="22"/>
                <w:szCs w:val="22"/>
              </w:rPr>
              <w:t>literacy specialism</w:t>
            </w:r>
            <w:r>
              <w:rPr>
                <w:sz w:val="22"/>
                <w:szCs w:val="22"/>
              </w:rPr>
              <w:t>s</w:t>
            </w:r>
            <w:r w:rsidRPr="00352B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Teaching and Learning Community meetings will be set aside for this.</w:t>
            </w:r>
          </w:p>
          <w:p w:rsidR="0022246B" w:rsidRPr="00352B85" w:rsidRDefault="0022246B" w:rsidP="00D51B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52B8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upported by leaders of literacy,</w:t>
            </w:r>
            <w:r w:rsidRPr="00352B85">
              <w:rPr>
                <w:sz w:val="22"/>
                <w:szCs w:val="22"/>
              </w:rPr>
              <w:t xml:space="preserve"> all teachers will develop confidence in identifying </w:t>
            </w:r>
            <w:r>
              <w:rPr>
                <w:sz w:val="22"/>
                <w:szCs w:val="22"/>
              </w:rPr>
              <w:t>success criteria in a range of Literacy E/Os and share good practice in TLC meetings.</w:t>
            </w:r>
          </w:p>
          <w:p w:rsidR="0022246B" w:rsidRDefault="0022246B" w:rsidP="00D51B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May/June 2015, </w:t>
            </w:r>
            <w:r w:rsidRPr="00352B85">
              <w:rPr>
                <w:sz w:val="22"/>
                <w:szCs w:val="22"/>
              </w:rPr>
              <w:t xml:space="preserve">Departments will link with other departments to share good practice and </w:t>
            </w:r>
            <w:r>
              <w:rPr>
                <w:sz w:val="22"/>
                <w:szCs w:val="22"/>
              </w:rPr>
              <w:t>develop</w:t>
            </w:r>
            <w:r w:rsidRPr="00352B85">
              <w:rPr>
                <w:sz w:val="22"/>
                <w:szCs w:val="22"/>
              </w:rPr>
              <w:t xml:space="preserve"> IDL opportunities</w:t>
            </w:r>
            <w:r>
              <w:rPr>
                <w:sz w:val="22"/>
                <w:szCs w:val="22"/>
              </w:rPr>
              <w:t xml:space="preserve"> and contexts</w:t>
            </w:r>
            <w:r w:rsidRPr="00352B85">
              <w:rPr>
                <w:sz w:val="22"/>
                <w:szCs w:val="22"/>
              </w:rPr>
              <w:t xml:space="preserve"> where meaningful.</w:t>
            </w:r>
          </w:p>
          <w:p w:rsidR="0022246B" w:rsidRDefault="0022246B" w:rsidP="00D51B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further range of resources will be created and shared and made available on the Literacy website.</w:t>
            </w:r>
          </w:p>
          <w:p w:rsidR="0022246B" w:rsidRPr="00DA7BBE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Pr="00352B85" w:rsidRDefault="0022246B" w:rsidP="00D51B36">
            <w:pPr>
              <w:jc w:val="center"/>
              <w:rPr>
                <w:b/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surveys and TLC learner conversations will establish the pupil perspective.</w:t>
            </w:r>
          </w:p>
          <w:p w:rsidR="0022246B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work will be sampled across the curriculum.</w:t>
            </w:r>
          </w:p>
          <w:p w:rsidR="0022246B" w:rsidRDefault="0022246B" w:rsidP="00D51B3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Teacher/Faculty feedback will be sought re attainment.</w:t>
            </w:r>
          </w:p>
          <w:p w:rsidR="0022246B" w:rsidRPr="0071588E" w:rsidRDefault="0022246B" w:rsidP="00D51B36">
            <w:pPr>
              <w:rPr>
                <w:sz w:val="22"/>
                <w:szCs w:val="22"/>
              </w:rPr>
            </w:pPr>
          </w:p>
        </w:tc>
      </w:tr>
    </w:tbl>
    <w:p w:rsidR="0022246B" w:rsidRDefault="0022246B" w:rsidP="0022246B">
      <w:pPr>
        <w:sectPr w:rsidR="0022246B" w:rsidSect="0071588E">
          <w:pgSz w:w="16838" w:h="11906" w:orient="landscape"/>
          <w:pgMar w:top="360" w:right="1440" w:bottom="360" w:left="720" w:header="709" w:footer="709" w:gutter="0"/>
          <w:cols w:space="708"/>
          <w:docGrid w:linePitch="360"/>
        </w:sectPr>
      </w:pPr>
    </w:p>
    <w:tbl>
      <w:tblPr>
        <w:tblStyle w:val="TableGrid"/>
        <w:tblW w:w="15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3854"/>
        <w:gridCol w:w="3561"/>
        <w:gridCol w:w="3385"/>
      </w:tblGrid>
      <w:tr w:rsidR="0022246B" w:rsidTr="00D51B36">
        <w:tc>
          <w:tcPr>
            <w:tcW w:w="4860" w:type="dxa"/>
          </w:tcPr>
          <w:p w:rsidR="0022246B" w:rsidRPr="00DD0C02" w:rsidRDefault="0022246B" w:rsidP="00D51B36">
            <w:pPr>
              <w:rPr>
                <w:b/>
                <w:sz w:val="22"/>
                <w:szCs w:val="22"/>
              </w:rPr>
            </w:pPr>
            <w:r w:rsidRPr="00DD0C02">
              <w:rPr>
                <w:b/>
                <w:sz w:val="22"/>
                <w:szCs w:val="22"/>
              </w:rPr>
              <w:lastRenderedPageBreak/>
              <w:t>3. Skills Frameworks: Research and Presentation</w:t>
            </w:r>
          </w:p>
        </w:tc>
        <w:tc>
          <w:tcPr>
            <w:tcW w:w="3854" w:type="dxa"/>
          </w:tcPr>
          <w:p w:rsidR="0022246B" w:rsidRDefault="0022246B" w:rsidP="00D51B36">
            <w:pPr>
              <w:jc w:val="center"/>
              <w:rPr>
                <w:b/>
                <w:sz w:val="32"/>
                <w:szCs w:val="32"/>
              </w:rPr>
            </w:pPr>
            <w:r w:rsidRPr="00483E93">
              <w:rPr>
                <w:b/>
              </w:rPr>
              <w:t>2014/15 Development Year</w:t>
            </w:r>
          </w:p>
        </w:tc>
        <w:tc>
          <w:tcPr>
            <w:tcW w:w="3561" w:type="dxa"/>
          </w:tcPr>
          <w:p w:rsidR="0022246B" w:rsidRDefault="0022246B" w:rsidP="00D51B36">
            <w:pPr>
              <w:jc w:val="center"/>
              <w:rPr>
                <w:b/>
                <w:sz w:val="32"/>
                <w:szCs w:val="32"/>
              </w:rPr>
            </w:pPr>
            <w:r w:rsidRPr="00483E93">
              <w:rPr>
                <w:b/>
              </w:rPr>
              <w:t>2015/16 Impact Year</w:t>
            </w:r>
          </w:p>
        </w:tc>
        <w:tc>
          <w:tcPr>
            <w:tcW w:w="3385" w:type="dxa"/>
          </w:tcPr>
          <w:p w:rsidR="0022246B" w:rsidRDefault="0022246B" w:rsidP="00D51B36">
            <w:pPr>
              <w:jc w:val="center"/>
              <w:rPr>
                <w:b/>
                <w:sz w:val="32"/>
                <w:szCs w:val="32"/>
              </w:rPr>
            </w:pPr>
            <w:r w:rsidRPr="00483E93">
              <w:rPr>
                <w:b/>
              </w:rPr>
              <w:t>2016-2018 Impact Years</w:t>
            </w:r>
          </w:p>
        </w:tc>
      </w:tr>
      <w:tr w:rsidR="0022246B" w:rsidTr="00D51B36">
        <w:trPr>
          <w:trHeight w:val="176"/>
        </w:trPr>
        <w:tc>
          <w:tcPr>
            <w:tcW w:w="4860" w:type="dxa"/>
          </w:tcPr>
          <w:p w:rsidR="0022246B" w:rsidRDefault="0022246B" w:rsidP="00D51B3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088640" cy="2794000"/>
                  <wp:effectExtent l="0" t="0" r="0" b="6350"/>
                  <wp:docPr id="3" name="Picture 3" descr="5693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693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46B" w:rsidRDefault="0022246B" w:rsidP="00D51B36">
            <w:pPr>
              <w:rPr>
                <w:sz w:val="32"/>
                <w:szCs w:val="32"/>
              </w:rPr>
            </w:pPr>
          </w:p>
          <w:p w:rsidR="0022246B" w:rsidRDefault="0022246B" w:rsidP="00D51B36">
            <w:pPr>
              <w:jc w:val="center"/>
              <w:rPr>
                <w:b/>
              </w:rPr>
            </w:pPr>
            <w:r w:rsidRPr="00167A81">
              <w:rPr>
                <w:b/>
              </w:rPr>
              <w:t>Where are we now-</w:t>
            </w:r>
            <w:r>
              <w:rPr>
                <w:b/>
              </w:rPr>
              <w:t xml:space="preserve"> </w:t>
            </w:r>
            <w:r w:rsidRPr="00167A81">
              <w:rPr>
                <w:b/>
              </w:rPr>
              <w:t>2013/14?</w:t>
            </w:r>
          </w:p>
          <w:p w:rsidR="0022246B" w:rsidRPr="000A356F" w:rsidRDefault="0022246B" w:rsidP="00D51B36">
            <w:pPr>
              <w:rPr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undertake a great deal of research across the curriculum.</w:t>
            </w:r>
          </w:p>
          <w:p w:rsidR="0022246B" w:rsidRDefault="0022246B" w:rsidP="00D51B36">
            <w:pPr>
              <w:rPr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deliver presentations- whether written or spoken- in all subjects.</w:t>
            </w:r>
          </w:p>
          <w:p w:rsidR="0022246B" w:rsidRDefault="0022246B" w:rsidP="00D51B36">
            <w:pPr>
              <w:rPr>
                <w:sz w:val="22"/>
                <w:szCs w:val="22"/>
              </w:rPr>
            </w:pPr>
          </w:p>
          <w:p w:rsidR="0022246B" w:rsidRPr="000A356F" w:rsidRDefault="0022246B" w:rsidP="00D51B3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consistent skills framework for research and presentation currently exists to highlight the transferability of skills and promote the independent application of skills in unfamiliar contexts.</w:t>
            </w:r>
          </w:p>
        </w:tc>
        <w:tc>
          <w:tcPr>
            <w:tcW w:w="3854" w:type="dxa"/>
          </w:tcPr>
          <w:p w:rsidR="0022246B" w:rsidRDefault="0022246B" w:rsidP="00D51B36">
            <w:pPr>
              <w:jc w:val="both"/>
              <w:rPr>
                <w:b/>
                <w:sz w:val="32"/>
                <w:szCs w:val="32"/>
              </w:rPr>
            </w:pPr>
          </w:p>
          <w:p w:rsidR="0022246B" w:rsidRDefault="0022246B" w:rsidP="00D51B36">
            <w:pPr>
              <w:jc w:val="center"/>
              <w:rPr>
                <w:b/>
              </w:rPr>
            </w:pPr>
            <w:r w:rsidRPr="00483E93">
              <w:rPr>
                <w:b/>
              </w:rPr>
              <w:t>What’s the plan 2014/15?</w:t>
            </w:r>
          </w:p>
          <w:p w:rsidR="0022246B" w:rsidRDefault="0022246B" w:rsidP="00D51B36">
            <w:pPr>
              <w:jc w:val="center"/>
              <w:rPr>
                <w:b/>
              </w:rPr>
            </w:pPr>
          </w:p>
          <w:p w:rsidR="0022246B" w:rsidRPr="000A356F" w:rsidRDefault="0022246B" w:rsidP="00D51B36">
            <w:pPr>
              <w:jc w:val="both"/>
              <w:rPr>
                <w:b/>
                <w:sz w:val="22"/>
                <w:szCs w:val="22"/>
              </w:rPr>
            </w:pPr>
            <w:r w:rsidRPr="00200C03">
              <w:rPr>
                <w:sz w:val="22"/>
                <w:szCs w:val="22"/>
              </w:rPr>
              <w:t>A Skills Framework for Research and Presentation will be developed for pupils to apply across the curriculum and in unfamiliar contexts</w:t>
            </w:r>
            <w:r>
              <w:rPr>
                <w:b/>
                <w:sz w:val="22"/>
                <w:szCs w:val="22"/>
              </w:rPr>
              <w:t>.</w:t>
            </w:r>
          </w:p>
          <w:p w:rsidR="0022246B" w:rsidRDefault="0022246B" w:rsidP="00D51B36">
            <w:pPr>
              <w:jc w:val="both"/>
              <w:rPr>
                <w:b/>
                <w:sz w:val="32"/>
                <w:szCs w:val="32"/>
              </w:rPr>
            </w:pPr>
          </w:p>
          <w:p w:rsidR="0022246B" w:rsidRPr="00961B3E" w:rsidRDefault="0022246B" w:rsidP="00D51B36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61B3E">
              <w:rPr>
                <w:sz w:val="22"/>
                <w:szCs w:val="22"/>
              </w:rPr>
              <w:t>Members of the Literacy Group will gather research projects and related resources from across the curriculum</w:t>
            </w:r>
            <w:r>
              <w:rPr>
                <w:sz w:val="22"/>
                <w:szCs w:val="22"/>
              </w:rPr>
              <w:t xml:space="preserve"> (June 2014)</w:t>
            </w:r>
            <w:r w:rsidRPr="00961B3E">
              <w:rPr>
                <w:sz w:val="22"/>
                <w:szCs w:val="22"/>
              </w:rPr>
              <w:t>.</w:t>
            </w:r>
          </w:p>
          <w:p w:rsidR="0022246B" w:rsidRPr="00961B3E" w:rsidRDefault="0022246B" w:rsidP="00D51B36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61B3E">
              <w:rPr>
                <w:sz w:val="22"/>
                <w:szCs w:val="22"/>
              </w:rPr>
              <w:t>A Skills Framework (a guide and checklist) will be created based on departmental requirements in the form of a mat or fan for use across the curriculum</w:t>
            </w:r>
            <w:r>
              <w:rPr>
                <w:sz w:val="22"/>
                <w:szCs w:val="22"/>
              </w:rPr>
              <w:t xml:space="preserve"> (by December 2014)</w:t>
            </w:r>
            <w:r w:rsidRPr="00961B3E">
              <w:rPr>
                <w:sz w:val="22"/>
                <w:szCs w:val="22"/>
              </w:rPr>
              <w:t xml:space="preserve">. </w:t>
            </w:r>
          </w:p>
          <w:p w:rsidR="0022246B" w:rsidRDefault="0022246B" w:rsidP="00D51B36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Opportunities will be timetabled for S3 pupils in CFE and/or LFE classes to apply the Skills in unfamiliar contexts.</w:t>
            </w:r>
          </w:p>
          <w:p w:rsidR="0022246B" w:rsidRPr="00961B3E" w:rsidRDefault="0022246B" w:rsidP="00D51B36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conducting research projects and presentations, teachers will highlight the transferability of the research and presentation skills by using the Skills Frameworks when appropriate.</w:t>
            </w:r>
          </w:p>
          <w:p w:rsidR="0022246B" w:rsidRDefault="0022246B" w:rsidP="00D51B36">
            <w:pPr>
              <w:rPr>
                <w:b/>
                <w:sz w:val="32"/>
                <w:szCs w:val="32"/>
              </w:rPr>
            </w:pPr>
          </w:p>
          <w:p w:rsidR="0022246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Default="0022246B" w:rsidP="00D51B36">
            <w:pPr>
              <w:jc w:val="both"/>
              <w:rPr>
                <w:b/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585CD1">
              <w:rPr>
                <w:sz w:val="22"/>
                <w:szCs w:val="22"/>
              </w:rPr>
              <w:t>The literacy Group/TLC will sample research projects across the curriculum.</w:t>
            </w: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and pupil Literacy surveys will be conducted.</w:t>
            </w: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Learner conversations will ascertain the pupil perspective.</w:t>
            </w:r>
          </w:p>
          <w:p w:rsidR="0022246B" w:rsidRPr="0077335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Attainment in AVU will improve measurably.</w:t>
            </w:r>
          </w:p>
        </w:tc>
        <w:tc>
          <w:tcPr>
            <w:tcW w:w="3561" w:type="dxa"/>
          </w:tcPr>
          <w:p w:rsidR="0022246B" w:rsidRDefault="0022246B" w:rsidP="00D51B36">
            <w:pPr>
              <w:jc w:val="both"/>
              <w:rPr>
                <w:b/>
                <w:sz w:val="32"/>
                <w:szCs w:val="32"/>
              </w:rPr>
            </w:pPr>
          </w:p>
          <w:p w:rsidR="0022246B" w:rsidRDefault="0022246B" w:rsidP="00D51B36">
            <w:pPr>
              <w:jc w:val="center"/>
              <w:rPr>
                <w:b/>
              </w:rPr>
            </w:pPr>
            <w:r w:rsidRPr="00483E93">
              <w:rPr>
                <w:b/>
              </w:rPr>
              <w:t>What’s the plan 201</w:t>
            </w:r>
            <w:r>
              <w:rPr>
                <w:b/>
              </w:rPr>
              <w:t>5/16</w:t>
            </w:r>
            <w:r w:rsidRPr="00483E93">
              <w:rPr>
                <w:b/>
              </w:rPr>
              <w:t>?</w:t>
            </w:r>
          </w:p>
          <w:p w:rsidR="0022246B" w:rsidRDefault="0022246B" w:rsidP="00D51B36">
            <w:pPr>
              <w:jc w:val="both"/>
              <w:rPr>
                <w:b/>
                <w:sz w:val="32"/>
                <w:szCs w:val="32"/>
              </w:rPr>
            </w:pPr>
          </w:p>
          <w:p w:rsidR="0022246B" w:rsidRDefault="0022246B" w:rsidP="00D51B3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200C03">
              <w:rPr>
                <w:sz w:val="22"/>
                <w:szCs w:val="22"/>
              </w:rPr>
              <w:t xml:space="preserve">By the end of the year, </w:t>
            </w:r>
            <w:r>
              <w:rPr>
                <w:sz w:val="22"/>
                <w:szCs w:val="22"/>
              </w:rPr>
              <w:t>teachers will habitually refer pupils to the Skills Frameworks. This will be a feature of Faculty Action plans 2015/16.</w:t>
            </w:r>
          </w:p>
          <w:p w:rsidR="0022246B" w:rsidRDefault="0022246B" w:rsidP="00D51B3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will recognise the relevance of the Skills Frameworks and have opportunity to apply the skills across the curriculum and in CFE and/or LFE classes.</w:t>
            </w:r>
          </w:p>
          <w:p w:rsidR="0022246B" w:rsidRDefault="0022246B" w:rsidP="00D51B3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will celebrate their achievements by displaying work throughout the school and on the school website. Excellence will be celebrated through Literacy Awards and collated by S6 Leaders of Literacy.</w:t>
            </w:r>
          </w:p>
          <w:p w:rsidR="0022246B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585CD1">
              <w:rPr>
                <w:sz w:val="22"/>
                <w:szCs w:val="22"/>
              </w:rPr>
              <w:t>The literacy Group/TLC will sample research projects across the curriculum.</w:t>
            </w: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and pupil Literacy surveys will be conducted.</w:t>
            </w: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Learner conversations will ascertain the pupil perspective.</w:t>
            </w: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Attainment in AVU will improve measurably.</w:t>
            </w:r>
          </w:p>
          <w:p w:rsidR="0022246B" w:rsidRPr="00585CD1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will be developed to celebrate achievement and ‘Leaders of Literacy’ will be awarded.</w:t>
            </w:r>
          </w:p>
          <w:p w:rsidR="0022246B" w:rsidRPr="00200C03" w:rsidRDefault="0022246B" w:rsidP="00D51B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5" w:type="dxa"/>
          </w:tcPr>
          <w:p w:rsidR="0022246B" w:rsidRDefault="0022246B" w:rsidP="00D51B36">
            <w:pPr>
              <w:jc w:val="center"/>
              <w:rPr>
                <w:b/>
              </w:rPr>
            </w:pPr>
          </w:p>
          <w:p w:rsidR="0022246B" w:rsidRDefault="0022246B" w:rsidP="00D51B36">
            <w:pPr>
              <w:jc w:val="center"/>
              <w:rPr>
                <w:b/>
              </w:rPr>
            </w:pPr>
            <w:r w:rsidRPr="00483E93">
              <w:rPr>
                <w:b/>
              </w:rPr>
              <w:t>What’s the plan 201</w:t>
            </w:r>
            <w:r>
              <w:rPr>
                <w:b/>
              </w:rPr>
              <w:t>6-18</w:t>
            </w:r>
            <w:r w:rsidRPr="00483E93">
              <w:rPr>
                <w:b/>
              </w:rPr>
              <w:t>?</w:t>
            </w:r>
          </w:p>
          <w:p w:rsidR="0022246B" w:rsidRDefault="0022246B" w:rsidP="00D51B36">
            <w:pPr>
              <w:rPr>
                <w:sz w:val="22"/>
                <w:szCs w:val="22"/>
              </w:rPr>
            </w:pPr>
          </w:p>
          <w:p w:rsidR="0022246B" w:rsidRDefault="0022246B" w:rsidP="00D51B36">
            <w:pPr>
              <w:rPr>
                <w:sz w:val="22"/>
                <w:szCs w:val="22"/>
              </w:rPr>
            </w:pPr>
            <w:r w:rsidRPr="002D7042">
              <w:rPr>
                <w:sz w:val="22"/>
                <w:szCs w:val="22"/>
              </w:rPr>
              <w:t xml:space="preserve">According to the success of the foregoing, </w:t>
            </w:r>
            <w:r>
              <w:rPr>
                <w:sz w:val="22"/>
                <w:szCs w:val="22"/>
              </w:rPr>
              <w:t>Skills Frameworks will</w:t>
            </w:r>
            <w:r w:rsidRPr="002D70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 modified and extended to include a greater range of Literacy Skills.</w:t>
            </w:r>
            <w:r w:rsidRPr="002D7042">
              <w:rPr>
                <w:sz w:val="22"/>
                <w:szCs w:val="22"/>
              </w:rPr>
              <w:t xml:space="preserve"> </w:t>
            </w:r>
          </w:p>
          <w:p w:rsidR="0022246B" w:rsidRDefault="0022246B" w:rsidP="00D51B36"/>
          <w:p w:rsidR="0022246B" w:rsidRPr="00961B3E" w:rsidRDefault="0022246B" w:rsidP="00D51B36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61B3E">
              <w:rPr>
                <w:sz w:val="22"/>
                <w:szCs w:val="22"/>
              </w:rPr>
              <w:t xml:space="preserve">Members of the Literacy Group will </w:t>
            </w:r>
            <w:r>
              <w:rPr>
                <w:sz w:val="22"/>
                <w:szCs w:val="22"/>
              </w:rPr>
              <w:t xml:space="preserve">explore further opportunities to develop Skills Frameworks for a greater range of activities commonly undertaken </w:t>
            </w:r>
            <w:r w:rsidRPr="00961B3E">
              <w:rPr>
                <w:sz w:val="22"/>
                <w:szCs w:val="22"/>
              </w:rPr>
              <w:t>across the curriculum.</w:t>
            </w:r>
          </w:p>
          <w:p w:rsidR="0022246B" w:rsidRPr="00961B3E" w:rsidRDefault="0022246B" w:rsidP="00D51B36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</w:t>
            </w:r>
            <w:r w:rsidRPr="00961B3E">
              <w:rPr>
                <w:sz w:val="22"/>
                <w:szCs w:val="22"/>
              </w:rPr>
              <w:t xml:space="preserve"> Skills Framework</w:t>
            </w:r>
            <w:r>
              <w:rPr>
                <w:sz w:val="22"/>
                <w:szCs w:val="22"/>
              </w:rPr>
              <w:t>s (</w:t>
            </w:r>
            <w:r w:rsidRPr="00961B3E">
              <w:rPr>
                <w:sz w:val="22"/>
                <w:szCs w:val="22"/>
              </w:rPr>
              <w:t>guide</w:t>
            </w:r>
            <w:r>
              <w:rPr>
                <w:sz w:val="22"/>
                <w:szCs w:val="22"/>
              </w:rPr>
              <w:t>s</w:t>
            </w:r>
            <w:r w:rsidRPr="00961B3E">
              <w:rPr>
                <w:sz w:val="22"/>
                <w:szCs w:val="22"/>
              </w:rPr>
              <w:t xml:space="preserve"> and checklist</w:t>
            </w:r>
            <w:r>
              <w:rPr>
                <w:sz w:val="22"/>
                <w:szCs w:val="22"/>
              </w:rPr>
              <w:t>s</w:t>
            </w:r>
            <w:r w:rsidRPr="00961B3E">
              <w:rPr>
                <w:sz w:val="22"/>
                <w:szCs w:val="22"/>
              </w:rPr>
              <w:t xml:space="preserve">) will be created based on departmental requirements </w:t>
            </w:r>
            <w:r>
              <w:rPr>
                <w:sz w:val="22"/>
                <w:szCs w:val="22"/>
              </w:rPr>
              <w:t xml:space="preserve">in the form of </w:t>
            </w:r>
            <w:r w:rsidRPr="00961B3E">
              <w:rPr>
                <w:sz w:val="22"/>
                <w:szCs w:val="22"/>
              </w:rPr>
              <w:t xml:space="preserve"> mat</w:t>
            </w:r>
            <w:r>
              <w:rPr>
                <w:sz w:val="22"/>
                <w:szCs w:val="22"/>
              </w:rPr>
              <w:t>s</w:t>
            </w:r>
            <w:r w:rsidRPr="00961B3E">
              <w:rPr>
                <w:sz w:val="22"/>
                <w:szCs w:val="22"/>
              </w:rPr>
              <w:t xml:space="preserve"> or fan</w:t>
            </w:r>
            <w:r>
              <w:rPr>
                <w:sz w:val="22"/>
                <w:szCs w:val="22"/>
              </w:rPr>
              <w:t>s etc</w:t>
            </w:r>
            <w:r w:rsidRPr="00961B3E">
              <w:rPr>
                <w:sz w:val="22"/>
                <w:szCs w:val="22"/>
              </w:rPr>
              <w:t xml:space="preserve"> for use across the curriculum. </w:t>
            </w:r>
          </w:p>
          <w:p w:rsidR="0022246B" w:rsidRDefault="0022246B" w:rsidP="00D51B36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Opportunities will be exploited for pupils in CFE and/or LFE classes to apply the Skills in unfamiliar contexts.</w:t>
            </w:r>
          </w:p>
          <w:p w:rsidR="0022246B" w:rsidRDefault="0022246B" w:rsidP="00D51B36">
            <w:pPr>
              <w:jc w:val="both"/>
              <w:rPr>
                <w:b/>
                <w:sz w:val="32"/>
                <w:szCs w:val="32"/>
              </w:rPr>
            </w:pPr>
          </w:p>
          <w:p w:rsidR="0022246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BA173B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585CD1">
              <w:rPr>
                <w:sz w:val="22"/>
                <w:szCs w:val="22"/>
              </w:rPr>
              <w:t xml:space="preserve">The literacy Group/TLC will sample </w:t>
            </w:r>
            <w:r>
              <w:rPr>
                <w:sz w:val="22"/>
                <w:szCs w:val="22"/>
              </w:rPr>
              <w:t>pupils’ work</w:t>
            </w:r>
            <w:r w:rsidRPr="00585CD1">
              <w:rPr>
                <w:sz w:val="22"/>
                <w:szCs w:val="22"/>
              </w:rPr>
              <w:t xml:space="preserve"> across the curriculum.</w:t>
            </w: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and pupil Literacy surveys will be conducted.</w:t>
            </w:r>
          </w:p>
          <w:p w:rsidR="0022246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Learner conversations will ascertain the pupil perspective.</w:t>
            </w:r>
          </w:p>
          <w:p w:rsidR="0022246B" w:rsidRPr="0077335B" w:rsidRDefault="0022246B" w:rsidP="00D51B3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will be developed to </w:t>
            </w:r>
            <w:r>
              <w:rPr>
                <w:sz w:val="22"/>
                <w:szCs w:val="22"/>
              </w:rPr>
              <w:lastRenderedPageBreak/>
              <w:t>celebrate achievement and ‘Leaders of Literacy’ will be awarded</w:t>
            </w:r>
          </w:p>
        </w:tc>
      </w:tr>
    </w:tbl>
    <w:p w:rsidR="0022246B" w:rsidRDefault="0022246B" w:rsidP="0022246B">
      <w:pPr>
        <w:rPr>
          <w:b/>
          <w:sz w:val="32"/>
          <w:szCs w:val="32"/>
        </w:rPr>
      </w:pPr>
    </w:p>
    <w:tbl>
      <w:tblPr>
        <w:tblStyle w:val="TableGrid"/>
        <w:tblW w:w="1489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140"/>
        <w:gridCol w:w="5040"/>
        <w:gridCol w:w="5714"/>
      </w:tblGrid>
      <w:tr w:rsidR="0022246B" w:rsidTr="00D51B36">
        <w:tc>
          <w:tcPr>
            <w:tcW w:w="4140" w:type="dxa"/>
          </w:tcPr>
          <w:p w:rsidR="0022246B" w:rsidRDefault="0022246B" w:rsidP="00D51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Celebrating Literacy</w:t>
            </w:r>
          </w:p>
        </w:tc>
        <w:tc>
          <w:tcPr>
            <w:tcW w:w="5040" w:type="dxa"/>
          </w:tcPr>
          <w:p w:rsidR="0022246B" w:rsidRDefault="0022246B" w:rsidP="00D51B36">
            <w:pPr>
              <w:jc w:val="center"/>
              <w:rPr>
                <w:b/>
                <w:sz w:val="32"/>
                <w:szCs w:val="32"/>
              </w:rPr>
            </w:pPr>
            <w:r w:rsidRPr="00483E93">
              <w:rPr>
                <w:b/>
              </w:rPr>
              <w:t xml:space="preserve">2014/15 </w:t>
            </w:r>
            <w:r>
              <w:rPr>
                <w:b/>
              </w:rPr>
              <w:t>Impact</w:t>
            </w:r>
            <w:r w:rsidRPr="00483E93">
              <w:rPr>
                <w:b/>
              </w:rPr>
              <w:t xml:space="preserve"> Year</w:t>
            </w:r>
            <w:r>
              <w:rPr>
                <w:b/>
              </w:rPr>
              <w:t>s</w:t>
            </w:r>
          </w:p>
        </w:tc>
        <w:tc>
          <w:tcPr>
            <w:tcW w:w="5714" w:type="dxa"/>
          </w:tcPr>
          <w:p w:rsidR="0022246B" w:rsidRPr="00140715" w:rsidRDefault="0022246B" w:rsidP="00D51B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2015-18</w:t>
            </w:r>
            <w:r w:rsidRPr="00140715">
              <w:rPr>
                <w:b/>
              </w:rPr>
              <w:t>Impact Year</w:t>
            </w:r>
          </w:p>
        </w:tc>
      </w:tr>
      <w:tr w:rsidR="0022246B" w:rsidTr="00D51B36">
        <w:tc>
          <w:tcPr>
            <w:tcW w:w="4140" w:type="dxa"/>
          </w:tcPr>
          <w:p w:rsidR="0022246B" w:rsidRDefault="0022246B" w:rsidP="00D51B36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24485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4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46B" w:rsidRPr="00AB0F86" w:rsidRDefault="0022246B" w:rsidP="00D51B36">
            <w:pPr>
              <w:rPr>
                <w:sz w:val="32"/>
                <w:szCs w:val="32"/>
              </w:rPr>
            </w:pPr>
          </w:p>
          <w:p w:rsidR="0022246B" w:rsidRDefault="0022246B" w:rsidP="0022246B">
            <w:pPr>
              <w:tabs>
                <w:tab w:val="left" w:pos="915"/>
              </w:tabs>
              <w:rPr>
                <w:b/>
              </w:rPr>
            </w:pPr>
            <w:r w:rsidRPr="00AB0F86">
              <w:rPr>
                <w:b/>
              </w:rPr>
              <w:t>Where are we now- 20</w:t>
            </w:r>
            <w:r>
              <w:rPr>
                <w:b/>
              </w:rPr>
              <w:t>1</w:t>
            </w:r>
            <w:r w:rsidRPr="00AB0F86">
              <w:rPr>
                <w:b/>
              </w:rPr>
              <w:t>3/14?</w:t>
            </w:r>
          </w:p>
          <w:p w:rsidR="0022246B" w:rsidRDefault="0022246B" w:rsidP="00D51B36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22246B" w:rsidRDefault="0022246B" w:rsidP="00D51B36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is celebrated in the following ways:</w:t>
            </w:r>
          </w:p>
          <w:p w:rsidR="0022246B" w:rsidRDefault="0022246B" w:rsidP="00D51B36">
            <w:pPr>
              <w:tabs>
                <w:tab w:val="left" w:pos="915"/>
              </w:tabs>
              <w:rPr>
                <w:sz w:val="22"/>
                <w:szCs w:val="22"/>
              </w:rPr>
            </w:pPr>
          </w:p>
          <w:p w:rsidR="0022246B" w:rsidRPr="0022246B" w:rsidRDefault="0022246B" w:rsidP="00D51B3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work with a Literacy focus is occasionally displayed in corridors.</w:t>
            </w:r>
          </w:p>
          <w:p w:rsidR="0022246B" w:rsidRPr="0022246B" w:rsidRDefault="0022246B" w:rsidP="00D51B3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Certificates are issued for Excellence and Commitment to S1/2/3 pupils.</w:t>
            </w:r>
          </w:p>
          <w:p w:rsidR="0022246B" w:rsidRPr="0022246B" w:rsidRDefault="0022246B" w:rsidP="00D51B3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success in Public Speaking, Debating, Drama, Writing Competitions and in social contexts is celebrated although not necessarily as an achievement in Literacy.</w:t>
            </w:r>
          </w:p>
          <w:p w:rsidR="0022246B" w:rsidRPr="00AB0F86" w:rsidRDefault="0022246B" w:rsidP="00D51B36">
            <w:pPr>
              <w:numPr>
                <w:ilvl w:val="0"/>
                <w:numId w:val="15"/>
              </w:num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who demonstrate a commitment to developing the skills of others are recognised but not necessarily as leaders of Literacy.</w:t>
            </w:r>
          </w:p>
        </w:tc>
        <w:tc>
          <w:tcPr>
            <w:tcW w:w="5040" w:type="dxa"/>
          </w:tcPr>
          <w:p w:rsidR="0022246B" w:rsidRDefault="0022246B" w:rsidP="00D51B36">
            <w:pPr>
              <w:jc w:val="center"/>
              <w:rPr>
                <w:b/>
              </w:rPr>
            </w:pPr>
            <w:r w:rsidRPr="00483E93">
              <w:rPr>
                <w:b/>
              </w:rPr>
              <w:t>What’s the plan 2014/15?</w:t>
            </w:r>
          </w:p>
          <w:p w:rsidR="0022246B" w:rsidRDefault="0022246B" w:rsidP="00D51B36">
            <w:pPr>
              <w:jc w:val="center"/>
              <w:rPr>
                <w:b/>
              </w:rPr>
            </w:pPr>
          </w:p>
          <w:p w:rsidR="0022246B" w:rsidRDefault="0022246B" w:rsidP="00D51B36">
            <w:pPr>
              <w:jc w:val="both"/>
              <w:rPr>
                <w:sz w:val="22"/>
                <w:szCs w:val="22"/>
              </w:rPr>
            </w:pPr>
            <w:r w:rsidRPr="00C55A40">
              <w:rPr>
                <w:sz w:val="22"/>
                <w:szCs w:val="22"/>
              </w:rPr>
              <w:t>A range of Whole School Literacy Awards will be introd</w:t>
            </w:r>
            <w:r>
              <w:rPr>
                <w:sz w:val="22"/>
                <w:szCs w:val="22"/>
              </w:rPr>
              <w:t xml:space="preserve">uced to celebrate </w:t>
            </w:r>
            <w:r w:rsidRPr="00C55A40">
              <w:rPr>
                <w:sz w:val="22"/>
                <w:szCs w:val="22"/>
              </w:rPr>
              <w:t>achievement in Literacy at EHS</w:t>
            </w:r>
            <w:r w:rsidRPr="00C55A40">
              <w:rPr>
                <w:b/>
                <w:sz w:val="22"/>
                <w:szCs w:val="22"/>
              </w:rPr>
              <w:t xml:space="preserve">- </w:t>
            </w:r>
            <w:r w:rsidRPr="00C55A40">
              <w:rPr>
                <w:sz w:val="22"/>
                <w:szCs w:val="22"/>
              </w:rPr>
              <w:t>including the app</w:t>
            </w:r>
            <w:r>
              <w:rPr>
                <w:sz w:val="22"/>
                <w:szCs w:val="22"/>
              </w:rPr>
              <w:t>ointment of Leaders of Literacy who will fulfil a number of roles including helping young people with Literacy across the curriculum.</w:t>
            </w:r>
          </w:p>
          <w:p w:rsidR="0022246B" w:rsidRPr="00C55A40" w:rsidRDefault="0022246B" w:rsidP="00D51B36">
            <w:pPr>
              <w:jc w:val="both"/>
              <w:rPr>
                <w:b/>
                <w:sz w:val="22"/>
                <w:szCs w:val="22"/>
              </w:rPr>
            </w:pPr>
          </w:p>
          <w:p w:rsidR="0022246B" w:rsidRDefault="0022246B" w:rsidP="00D51B36">
            <w:pPr>
              <w:jc w:val="both"/>
              <w:rPr>
                <w:sz w:val="22"/>
                <w:szCs w:val="22"/>
              </w:rPr>
            </w:pPr>
            <w:r w:rsidRPr="00AB0F8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Literacy Group is creating a website which will promote Literacy and celebrate achievement in Literacy.</w:t>
            </w:r>
          </w:p>
          <w:p w:rsidR="0022246B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website will be a resource for teachers to share good practice and standards.</w:t>
            </w:r>
          </w:p>
          <w:p w:rsidR="0022246B" w:rsidRDefault="0022246B" w:rsidP="00D51B3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website will be a resource for pupils where the transferability of Literacy skills is highlighted; where successful examples of work can be found from across the curriculum; where book reviews can be posted and shared.</w:t>
            </w:r>
          </w:p>
          <w:p w:rsidR="0022246B" w:rsidRDefault="0022246B" w:rsidP="00D51B3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website will be a resource for parents where they can access information and find resources with which to support their young people.</w:t>
            </w:r>
          </w:p>
          <w:p w:rsidR="0022246B" w:rsidRDefault="0022246B" w:rsidP="00D51B3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website will celebrate achievement in Literacy by publicising the achievements of pupils awarded a whole School Literacy Award.</w:t>
            </w:r>
          </w:p>
          <w:p w:rsidR="0022246B" w:rsidRPr="00C55A40" w:rsidRDefault="0022246B" w:rsidP="00D51B36">
            <w:pPr>
              <w:jc w:val="both"/>
              <w:rPr>
                <w:sz w:val="22"/>
                <w:szCs w:val="22"/>
              </w:rPr>
            </w:pPr>
          </w:p>
          <w:p w:rsidR="0022246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C55A40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Pr="00C55A40" w:rsidRDefault="0022246B" w:rsidP="00D51B36">
            <w:pPr>
              <w:jc w:val="center"/>
              <w:rPr>
                <w:b/>
                <w:sz w:val="22"/>
                <w:szCs w:val="22"/>
              </w:rPr>
            </w:pPr>
          </w:p>
          <w:p w:rsidR="0022246B" w:rsidRDefault="0022246B" w:rsidP="00D51B3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55A40">
              <w:rPr>
                <w:sz w:val="22"/>
                <w:szCs w:val="22"/>
              </w:rPr>
              <w:t>A range of pupil/parent/teacher feedback will be sought</w:t>
            </w:r>
            <w:r>
              <w:rPr>
                <w:sz w:val="22"/>
                <w:szCs w:val="22"/>
              </w:rPr>
              <w:t xml:space="preserve"> by the Literacy Group and English Faculty.</w:t>
            </w:r>
          </w:p>
          <w:p w:rsidR="0022246B" w:rsidRPr="0022246B" w:rsidRDefault="0022246B" w:rsidP="00D51B3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and pupil surveys will be conducted to gauge the usefulness of the site and how to improve it.  </w:t>
            </w:r>
          </w:p>
        </w:tc>
        <w:tc>
          <w:tcPr>
            <w:tcW w:w="5714" w:type="dxa"/>
          </w:tcPr>
          <w:p w:rsidR="0022246B" w:rsidRDefault="0022246B" w:rsidP="0022246B">
            <w:pPr>
              <w:rPr>
                <w:b/>
              </w:rPr>
            </w:pPr>
            <w:r w:rsidRPr="00483E93">
              <w:rPr>
                <w:b/>
              </w:rPr>
              <w:t>What’s the plan 201</w:t>
            </w:r>
            <w:r>
              <w:rPr>
                <w:b/>
              </w:rPr>
              <w:t>5-18</w:t>
            </w:r>
            <w:r w:rsidRPr="00483E93">
              <w:rPr>
                <w:b/>
              </w:rPr>
              <w:t>?</w:t>
            </w:r>
          </w:p>
          <w:p w:rsidR="0022246B" w:rsidRDefault="0022246B" w:rsidP="00D51B36">
            <w:pPr>
              <w:rPr>
                <w:b/>
                <w:sz w:val="32"/>
                <w:szCs w:val="32"/>
              </w:rPr>
            </w:pPr>
          </w:p>
          <w:p w:rsidR="0022246B" w:rsidRPr="00140715" w:rsidRDefault="0022246B" w:rsidP="00D51B3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C55A40">
              <w:rPr>
                <w:sz w:val="22"/>
                <w:szCs w:val="22"/>
              </w:rPr>
              <w:t>Leaders of Literacy will increasingly take ownership of the Literacy website by displaying pupil work and celebrating pupil achievement in Literacy.</w:t>
            </w:r>
          </w:p>
          <w:p w:rsidR="0022246B" w:rsidRPr="00C55A40" w:rsidRDefault="0022246B" w:rsidP="00D51B36">
            <w:pPr>
              <w:rPr>
                <w:b/>
                <w:sz w:val="22"/>
                <w:szCs w:val="22"/>
              </w:rPr>
            </w:pPr>
          </w:p>
          <w:p w:rsidR="0022246B" w:rsidRPr="00140715" w:rsidRDefault="0022246B" w:rsidP="00D51B36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for staff will be continually updated and renewed in order to share the best practice and institute a common understanding of levels.</w:t>
            </w:r>
          </w:p>
          <w:p w:rsidR="0022246B" w:rsidRDefault="0022246B" w:rsidP="00D51B36">
            <w:pPr>
              <w:rPr>
                <w:b/>
                <w:sz w:val="22"/>
                <w:szCs w:val="22"/>
              </w:rPr>
            </w:pPr>
          </w:p>
          <w:p w:rsidR="0022246B" w:rsidRDefault="0022246B" w:rsidP="00D51B36">
            <w:pPr>
              <w:jc w:val="center"/>
              <w:rPr>
                <w:b/>
                <w:sz w:val="22"/>
                <w:szCs w:val="22"/>
              </w:rPr>
            </w:pPr>
            <w:r w:rsidRPr="00C55A40">
              <w:rPr>
                <w:b/>
                <w:sz w:val="22"/>
                <w:szCs w:val="22"/>
              </w:rPr>
              <w:t>How do we know it’s having an impact?</w:t>
            </w:r>
          </w:p>
          <w:p w:rsidR="0022246B" w:rsidRPr="00C55A40" w:rsidRDefault="0022246B" w:rsidP="00D51B36">
            <w:pPr>
              <w:jc w:val="center"/>
              <w:rPr>
                <w:b/>
                <w:sz w:val="22"/>
                <w:szCs w:val="22"/>
              </w:rPr>
            </w:pPr>
          </w:p>
          <w:p w:rsidR="0022246B" w:rsidRPr="0022246B" w:rsidRDefault="0022246B" w:rsidP="00D51B3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55A40">
              <w:rPr>
                <w:sz w:val="22"/>
                <w:szCs w:val="22"/>
              </w:rPr>
              <w:t>A range of pupil/parent/teacher feedback will be sought</w:t>
            </w:r>
            <w:r>
              <w:rPr>
                <w:sz w:val="22"/>
                <w:szCs w:val="22"/>
              </w:rPr>
              <w:t xml:space="preserve"> by the Literacy Group and English Faculty.</w:t>
            </w:r>
          </w:p>
          <w:p w:rsidR="0022246B" w:rsidRDefault="0022246B" w:rsidP="00D51B36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and pupil surveys will be conducted to gauge the usefulness of the site and how to improve it.  </w:t>
            </w:r>
          </w:p>
          <w:p w:rsidR="0022246B" w:rsidRPr="0022246B" w:rsidRDefault="0022246B" w:rsidP="0022246B">
            <w:pPr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BBC25AC" wp14:editId="3BFE1093">
                  <wp:extent cx="3362960" cy="2844800"/>
                  <wp:effectExtent l="0" t="0" r="8890" b="0"/>
                  <wp:docPr id="10" name="Picture 10" descr="MGCA26UNJICAF1DPG6CATGEFYKCAPE4CD3CAQSAMPMCAMERQSMCA29N1WNCATH1RIVCAUOUVC2CA3OU627CA6XA61MCA2G4QW4CA4PQ6JDCADNKABXCA367M67CA930FO5CA4OJBBICAFOQF8VCAP3PI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GCA26UNJICAF1DPG6CATGEFYKCAPE4CD3CAQSAMPMCAMERQSMCA29N1WNCATH1RIVCAUOUVC2CA3OU627CA6XA61MCA2G4QW4CA4PQ6JDCADNKABXCA367M67CA930FO5CA4OJBBICAFOQF8VCAP3PI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96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99C" w:rsidRDefault="0078099C"/>
    <w:sectPr w:rsidR="0078099C" w:rsidSect="002224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695"/>
    <w:multiLevelType w:val="hybridMultilevel"/>
    <w:tmpl w:val="EBB870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A2B9E"/>
    <w:multiLevelType w:val="hybridMultilevel"/>
    <w:tmpl w:val="20A6E4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127666"/>
    <w:multiLevelType w:val="hybridMultilevel"/>
    <w:tmpl w:val="53F8CA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34FE"/>
    <w:multiLevelType w:val="hybridMultilevel"/>
    <w:tmpl w:val="609E02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8F3312"/>
    <w:multiLevelType w:val="hybridMultilevel"/>
    <w:tmpl w:val="00B453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FA2D84"/>
    <w:multiLevelType w:val="hybridMultilevel"/>
    <w:tmpl w:val="93D61B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B11AAC"/>
    <w:multiLevelType w:val="hybridMultilevel"/>
    <w:tmpl w:val="E82A44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2A34CD"/>
    <w:multiLevelType w:val="hybridMultilevel"/>
    <w:tmpl w:val="928A51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A90BAA"/>
    <w:multiLevelType w:val="hybridMultilevel"/>
    <w:tmpl w:val="4506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BE2EB3"/>
    <w:multiLevelType w:val="hybridMultilevel"/>
    <w:tmpl w:val="AE4E70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B20D21"/>
    <w:multiLevelType w:val="hybridMultilevel"/>
    <w:tmpl w:val="DD1636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C1219B"/>
    <w:multiLevelType w:val="hybridMultilevel"/>
    <w:tmpl w:val="9F0AD3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576E81"/>
    <w:multiLevelType w:val="hybridMultilevel"/>
    <w:tmpl w:val="43186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4F61998"/>
    <w:multiLevelType w:val="hybridMultilevel"/>
    <w:tmpl w:val="07E40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1844DA"/>
    <w:multiLevelType w:val="hybridMultilevel"/>
    <w:tmpl w:val="21E47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5B48F4"/>
    <w:multiLevelType w:val="hybridMultilevel"/>
    <w:tmpl w:val="6E505F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2A1E51"/>
    <w:multiLevelType w:val="hybridMultilevel"/>
    <w:tmpl w:val="9C4C8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28099B"/>
    <w:multiLevelType w:val="hybridMultilevel"/>
    <w:tmpl w:val="02221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7"/>
  </w:num>
  <w:num w:numId="5">
    <w:abstractNumId w:val="9"/>
  </w:num>
  <w:num w:numId="6">
    <w:abstractNumId w:val="2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12"/>
  </w:num>
  <w:num w:numId="13">
    <w:abstractNumId w:val="3"/>
  </w:num>
  <w:num w:numId="14">
    <w:abstractNumId w:val="0"/>
  </w:num>
  <w:num w:numId="15">
    <w:abstractNumId w:val="8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09"/>
    <w:rsid w:val="0022246B"/>
    <w:rsid w:val="006B3E09"/>
    <w:rsid w:val="0078099C"/>
    <w:rsid w:val="00D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C6A44744</Template>
  <TotalTime>0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Bryson</dc:creator>
  <cp:lastModifiedBy>Miss McDougal</cp:lastModifiedBy>
  <cp:revision>2</cp:revision>
  <dcterms:created xsi:type="dcterms:W3CDTF">2015-02-02T15:09:00Z</dcterms:created>
  <dcterms:modified xsi:type="dcterms:W3CDTF">2015-02-02T15:09:00Z</dcterms:modified>
</cp:coreProperties>
</file>